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F1DA8" w14:textId="213820CD" w:rsidR="00AB49D9" w:rsidRDefault="00FD2C45" w:rsidP="00DC02A1">
      <w:pPr>
        <w:bidi w:val="0"/>
        <w:spacing w:before="120" w:after="0" w:line="240" w:lineRule="auto"/>
        <w:jc w:val="center"/>
        <w:rPr>
          <w:rFonts w:asciiTheme="majorBidi" w:hAnsiTheme="majorBidi" w:cstheme="majorBidi"/>
          <w:b/>
          <w:bCs/>
          <w:i/>
          <w:iCs/>
          <w:noProof/>
          <w:sz w:val="26"/>
          <w:szCs w:val="26"/>
        </w:rPr>
      </w:pPr>
      <w:bookmarkStart w:id="0" w:name="_Hlk161824582"/>
      <w:bookmarkStart w:id="1" w:name="_Hlk161824741"/>
      <w:r w:rsidRPr="0053028A">
        <w:rPr>
          <w:rFonts w:asciiTheme="majorBidi" w:hAnsiTheme="majorBidi" w:cstheme="majorBidi"/>
          <w:b/>
          <w:bCs/>
          <w:noProof/>
          <w:sz w:val="26"/>
          <w:szCs w:val="26"/>
        </w:rPr>
        <w:t xml:space="preserve">Role of </w:t>
      </w:r>
      <w:bookmarkStart w:id="2" w:name="_Hlk161823268"/>
      <w:bookmarkStart w:id="3" w:name="_Hlk161824619"/>
      <w:bookmarkEnd w:id="0"/>
      <w:r w:rsidR="00AB49D9" w:rsidRPr="00AB49D9">
        <w:rPr>
          <w:rFonts w:asciiTheme="majorBidi" w:hAnsiTheme="majorBidi" w:cstheme="majorBidi"/>
          <w:b/>
          <w:bCs/>
          <w:noProof/>
          <w:sz w:val="26"/>
          <w:szCs w:val="26"/>
        </w:rPr>
        <w:t xml:space="preserve">miR-7 </w:t>
      </w:r>
      <w:r w:rsidR="00AB49D9" w:rsidRPr="00DC02A1">
        <w:rPr>
          <w:rFonts w:asciiTheme="majorBidi" w:hAnsiTheme="majorBidi" w:cstheme="majorBidi"/>
          <w:b/>
          <w:bCs/>
          <w:noProof/>
          <w:sz w:val="26"/>
          <w:szCs w:val="26"/>
        </w:rPr>
        <w:t xml:space="preserve">as </w:t>
      </w:r>
      <w:r w:rsidR="00DC02A1" w:rsidRPr="00DC02A1">
        <w:rPr>
          <w:rFonts w:asciiTheme="majorBidi" w:hAnsiTheme="majorBidi" w:cstheme="majorBidi"/>
          <w:b/>
          <w:bCs/>
          <w:noProof/>
          <w:sz w:val="26"/>
          <w:szCs w:val="26"/>
        </w:rPr>
        <w:t>Potential</w:t>
      </w:r>
      <w:r w:rsidR="00DC02A1" w:rsidRPr="00DC02A1">
        <w:rPr>
          <w:rFonts w:asciiTheme="majorBidi" w:hAnsiTheme="majorBidi" w:cstheme="majorBidi"/>
          <w:b/>
          <w:bCs/>
          <w:i/>
          <w:iCs/>
          <w:noProof/>
          <w:sz w:val="26"/>
          <w:szCs w:val="26"/>
        </w:rPr>
        <w:t xml:space="preserve"> </w:t>
      </w:r>
      <w:r w:rsidR="00BD64A5">
        <w:rPr>
          <w:rFonts w:asciiTheme="majorBidi" w:hAnsiTheme="majorBidi" w:cstheme="majorBidi"/>
          <w:b/>
          <w:bCs/>
          <w:noProof/>
          <w:sz w:val="26"/>
          <w:szCs w:val="26"/>
        </w:rPr>
        <w:t>Biomarker</w:t>
      </w:r>
      <w:r w:rsidR="00AB49D9" w:rsidRPr="00AB49D9">
        <w:rPr>
          <w:rFonts w:asciiTheme="majorBidi" w:hAnsiTheme="majorBidi" w:cstheme="majorBidi"/>
          <w:b/>
          <w:bCs/>
          <w:noProof/>
          <w:sz w:val="26"/>
          <w:szCs w:val="26"/>
        </w:rPr>
        <w:t xml:space="preserve"> for Colorectal Cancer</w:t>
      </w:r>
      <w:r w:rsidR="00AB49D9" w:rsidRPr="00AB49D9">
        <w:rPr>
          <w:rFonts w:asciiTheme="majorBidi" w:hAnsiTheme="majorBidi" w:cstheme="majorBidi"/>
          <w:b/>
          <w:bCs/>
          <w:i/>
          <w:iCs/>
          <w:noProof/>
          <w:sz w:val="26"/>
          <w:szCs w:val="26"/>
        </w:rPr>
        <w:t xml:space="preserve"> </w:t>
      </w:r>
    </w:p>
    <w:p w14:paraId="51A920B1" w14:textId="26D4CE31" w:rsidR="0053028A" w:rsidRPr="00190A6C" w:rsidRDefault="00AB49D9" w:rsidP="00AB49D9">
      <w:pPr>
        <w:bidi w:val="0"/>
        <w:spacing w:before="120" w:after="0" w:line="240" w:lineRule="auto"/>
        <w:jc w:val="center"/>
        <w:rPr>
          <w:rFonts w:asciiTheme="majorBidi" w:hAnsiTheme="majorBidi" w:cstheme="majorBidi"/>
          <w:b/>
          <w:bCs/>
          <w:noProof/>
          <w:sz w:val="20"/>
          <w:szCs w:val="20"/>
          <w:vertAlign w:val="superscript"/>
        </w:rPr>
      </w:pPr>
      <w:r>
        <w:rPr>
          <w:rFonts w:asciiTheme="majorBidi" w:hAnsiTheme="majorBidi" w:cstheme="majorBidi"/>
          <w:b/>
          <w:bCs/>
          <w:noProof/>
          <w:sz w:val="20"/>
          <w:szCs w:val="20"/>
        </w:rPr>
        <w:t>Nourhan</w:t>
      </w:r>
      <w:r w:rsidR="001A5200" w:rsidRPr="001A5200">
        <w:rPr>
          <w:rFonts w:asciiTheme="majorBidi" w:hAnsiTheme="majorBidi" w:cstheme="majorBidi"/>
          <w:b/>
          <w:bCs/>
          <w:noProof/>
          <w:sz w:val="20"/>
          <w:szCs w:val="20"/>
        </w:rPr>
        <w:t xml:space="preserve"> M</w:t>
      </w:r>
      <w:r w:rsidR="0053028A">
        <w:rPr>
          <w:rFonts w:asciiTheme="majorBidi" w:hAnsiTheme="majorBidi" w:cstheme="majorBidi"/>
          <w:b/>
          <w:bCs/>
          <w:noProof/>
          <w:sz w:val="20"/>
          <w:szCs w:val="20"/>
        </w:rPr>
        <w:t>.</w:t>
      </w:r>
      <w:r w:rsidR="001A5200" w:rsidRPr="001A5200">
        <w:rPr>
          <w:rFonts w:asciiTheme="majorBidi" w:hAnsiTheme="majorBidi" w:cstheme="majorBidi"/>
          <w:b/>
          <w:bCs/>
          <w:noProof/>
          <w:sz w:val="20"/>
          <w:szCs w:val="20"/>
        </w:rPr>
        <w:t xml:space="preserve"> A</w:t>
      </w:r>
      <w:bookmarkEnd w:id="2"/>
      <w:r>
        <w:rPr>
          <w:rFonts w:asciiTheme="majorBidi" w:hAnsiTheme="majorBidi" w:cstheme="majorBidi"/>
          <w:b/>
          <w:bCs/>
          <w:noProof/>
          <w:sz w:val="20"/>
          <w:szCs w:val="20"/>
        </w:rPr>
        <w:t>ttia</w:t>
      </w:r>
      <w:r w:rsidR="00190A6C" w:rsidRPr="00190A6C">
        <w:rPr>
          <w:rFonts w:asciiTheme="majorBidi" w:hAnsiTheme="majorBidi" w:cstheme="majorBidi"/>
          <w:b/>
          <w:bCs/>
          <w:noProof/>
          <w:sz w:val="20"/>
          <w:szCs w:val="20"/>
          <w:vertAlign w:val="superscript"/>
        </w:rPr>
        <w:t>1</w:t>
      </w:r>
      <w:r w:rsidR="001A5200">
        <w:rPr>
          <w:rFonts w:asciiTheme="majorBidi" w:hAnsiTheme="majorBidi" w:cstheme="majorBidi"/>
          <w:b/>
          <w:bCs/>
          <w:noProof/>
          <w:sz w:val="20"/>
          <w:szCs w:val="20"/>
        </w:rPr>
        <w:t xml:space="preserve">, </w:t>
      </w:r>
      <w:bookmarkStart w:id="4" w:name="_Hlk183358777"/>
      <w:r w:rsidR="001A5200" w:rsidRPr="001A5200">
        <w:rPr>
          <w:rFonts w:asciiTheme="majorBidi" w:hAnsiTheme="majorBidi" w:cstheme="majorBidi"/>
          <w:b/>
          <w:bCs/>
          <w:noProof/>
          <w:sz w:val="20"/>
          <w:szCs w:val="20"/>
        </w:rPr>
        <w:t>A</w:t>
      </w:r>
      <w:r>
        <w:rPr>
          <w:rFonts w:asciiTheme="majorBidi" w:hAnsiTheme="majorBidi" w:cstheme="majorBidi"/>
          <w:b/>
          <w:bCs/>
          <w:noProof/>
          <w:sz w:val="20"/>
          <w:szCs w:val="20"/>
        </w:rPr>
        <w:t>mal</w:t>
      </w:r>
      <w:r w:rsidR="001A5200" w:rsidRPr="001A5200">
        <w:rPr>
          <w:rFonts w:asciiTheme="majorBidi" w:hAnsiTheme="majorBidi" w:cstheme="majorBidi"/>
          <w:b/>
          <w:bCs/>
          <w:noProof/>
          <w:sz w:val="20"/>
          <w:szCs w:val="20"/>
        </w:rPr>
        <w:t xml:space="preserve"> </w:t>
      </w:r>
      <w:r w:rsidRPr="00AB49D9">
        <w:rPr>
          <w:rFonts w:asciiTheme="majorBidi" w:hAnsiTheme="majorBidi" w:cstheme="majorBidi"/>
          <w:b/>
          <w:bCs/>
          <w:noProof/>
          <w:sz w:val="20"/>
          <w:szCs w:val="20"/>
        </w:rPr>
        <w:t>A</w:t>
      </w:r>
      <w:r>
        <w:rPr>
          <w:rFonts w:asciiTheme="majorBidi" w:hAnsiTheme="majorBidi" w:cstheme="majorBidi"/>
          <w:b/>
          <w:bCs/>
          <w:noProof/>
          <w:sz w:val="20"/>
          <w:szCs w:val="20"/>
        </w:rPr>
        <w:t>.</w:t>
      </w:r>
      <w:r w:rsidRPr="00AB49D9">
        <w:rPr>
          <w:rFonts w:asciiTheme="majorBidi" w:hAnsiTheme="majorBidi" w:cstheme="majorBidi"/>
          <w:b/>
          <w:bCs/>
          <w:noProof/>
          <w:sz w:val="20"/>
          <w:szCs w:val="20"/>
        </w:rPr>
        <w:t xml:space="preserve"> Hassan</w:t>
      </w:r>
      <w:bookmarkEnd w:id="4"/>
      <w:r w:rsidR="00190A6C" w:rsidRPr="00190A6C">
        <w:rPr>
          <w:rFonts w:asciiTheme="majorBidi" w:hAnsiTheme="majorBidi" w:cstheme="majorBidi"/>
          <w:b/>
          <w:bCs/>
          <w:noProof/>
          <w:sz w:val="20"/>
          <w:szCs w:val="20"/>
          <w:vertAlign w:val="superscript"/>
        </w:rPr>
        <w:t>1</w:t>
      </w:r>
      <w:r w:rsidR="001A5200">
        <w:rPr>
          <w:rFonts w:asciiTheme="majorBidi" w:hAnsiTheme="majorBidi" w:cstheme="majorBidi"/>
          <w:b/>
          <w:bCs/>
          <w:noProof/>
          <w:sz w:val="20"/>
          <w:szCs w:val="20"/>
        </w:rPr>
        <w:t xml:space="preserve">, </w:t>
      </w:r>
      <w:bookmarkStart w:id="5" w:name="_Hlk183358791"/>
      <w:r>
        <w:rPr>
          <w:rFonts w:asciiTheme="majorBidi" w:hAnsiTheme="majorBidi" w:cstheme="majorBidi"/>
          <w:b/>
          <w:bCs/>
          <w:noProof/>
          <w:sz w:val="20"/>
          <w:szCs w:val="20"/>
        </w:rPr>
        <w:t>Shuzan A. Mohammed</w:t>
      </w:r>
      <w:bookmarkEnd w:id="5"/>
      <w:r w:rsidR="00190A6C" w:rsidRPr="00190A6C">
        <w:rPr>
          <w:rFonts w:asciiTheme="majorBidi" w:hAnsiTheme="majorBidi" w:cstheme="majorBidi"/>
          <w:b/>
          <w:bCs/>
          <w:noProof/>
          <w:sz w:val="20"/>
          <w:szCs w:val="20"/>
          <w:vertAlign w:val="superscript"/>
        </w:rPr>
        <w:t>1</w:t>
      </w:r>
      <w:r>
        <w:rPr>
          <w:rFonts w:asciiTheme="majorBidi" w:hAnsiTheme="majorBidi" w:cstheme="majorBidi"/>
          <w:b/>
          <w:bCs/>
          <w:noProof/>
          <w:sz w:val="20"/>
          <w:szCs w:val="20"/>
        </w:rPr>
        <w:t>,</w:t>
      </w:r>
      <w:bookmarkStart w:id="6" w:name="_Hlk183358807"/>
      <w:r w:rsidR="001A5200">
        <w:rPr>
          <w:rFonts w:asciiTheme="majorBidi" w:hAnsiTheme="majorBidi" w:cstheme="majorBidi"/>
          <w:b/>
          <w:bCs/>
          <w:noProof/>
          <w:sz w:val="20"/>
          <w:szCs w:val="20"/>
        </w:rPr>
        <w:t xml:space="preserve"> </w:t>
      </w:r>
      <w:r>
        <w:rPr>
          <w:rFonts w:asciiTheme="majorBidi" w:hAnsiTheme="majorBidi" w:cstheme="majorBidi"/>
          <w:b/>
          <w:bCs/>
          <w:noProof/>
          <w:sz w:val="20"/>
          <w:szCs w:val="20"/>
        </w:rPr>
        <w:t>Emad M.</w:t>
      </w:r>
      <w:r w:rsidRPr="00AB49D9">
        <w:rPr>
          <w:rFonts w:asciiTheme="majorBidi" w:hAnsiTheme="majorBidi" w:cstheme="majorBidi"/>
          <w:b/>
          <w:bCs/>
          <w:noProof/>
          <w:sz w:val="20"/>
          <w:szCs w:val="20"/>
        </w:rPr>
        <w:t xml:space="preserve"> Sarhan</w:t>
      </w:r>
      <w:bookmarkEnd w:id="6"/>
      <w:r w:rsidR="00190A6C" w:rsidRPr="00190A6C">
        <w:rPr>
          <w:rFonts w:asciiTheme="majorBidi" w:hAnsiTheme="majorBidi" w:cstheme="majorBidi"/>
          <w:b/>
          <w:bCs/>
          <w:noProof/>
          <w:sz w:val="20"/>
          <w:szCs w:val="20"/>
          <w:vertAlign w:val="superscript"/>
        </w:rPr>
        <w:t>2</w:t>
      </w:r>
    </w:p>
    <w:p w14:paraId="60D38501" w14:textId="282B3087" w:rsidR="00AB49D9" w:rsidRPr="00AB49D9" w:rsidRDefault="0053028A" w:rsidP="00AB49D9">
      <w:pPr>
        <w:bidi w:val="0"/>
        <w:spacing w:after="0" w:line="240" w:lineRule="auto"/>
        <w:jc w:val="center"/>
        <w:rPr>
          <w:rFonts w:asciiTheme="majorBidi" w:hAnsiTheme="majorBidi" w:cstheme="majorBidi"/>
          <w:b/>
          <w:bCs/>
          <w:noProof/>
          <w:sz w:val="20"/>
          <w:szCs w:val="20"/>
        </w:rPr>
      </w:pPr>
      <w:r>
        <w:rPr>
          <w:rFonts w:asciiTheme="majorBidi" w:hAnsiTheme="majorBidi" w:cstheme="majorBidi"/>
          <w:b/>
          <w:bCs/>
          <w:noProof/>
          <w:sz w:val="20"/>
          <w:szCs w:val="20"/>
        </w:rPr>
        <w:t xml:space="preserve"> </w:t>
      </w:r>
      <w:r w:rsidR="003C6F75" w:rsidRPr="00AB49D9">
        <w:rPr>
          <w:rFonts w:asciiTheme="majorBidi" w:hAnsiTheme="majorBidi" w:cstheme="majorBidi"/>
          <w:b/>
          <w:bCs/>
          <w:noProof/>
          <w:sz w:val="20"/>
          <w:szCs w:val="20"/>
        </w:rPr>
        <w:t xml:space="preserve">and </w:t>
      </w:r>
      <w:bookmarkEnd w:id="3"/>
      <w:r w:rsidR="00AB49D9" w:rsidRPr="00AB49D9">
        <w:rPr>
          <w:rFonts w:asciiTheme="majorBidi" w:hAnsiTheme="majorBidi" w:cstheme="majorBidi"/>
          <w:b/>
          <w:bCs/>
          <w:noProof/>
          <w:sz w:val="20"/>
          <w:szCs w:val="20"/>
        </w:rPr>
        <w:t>Lina A. Mohamed</w:t>
      </w:r>
      <w:r w:rsidR="00190A6C" w:rsidRPr="00190A6C">
        <w:rPr>
          <w:rFonts w:asciiTheme="majorBidi" w:hAnsiTheme="majorBidi" w:cstheme="majorBidi"/>
          <w:b/>
          <w:bCs/>
          <w:noProof/>
          <w:sz w:val="20"/>
          <w:szCs w:val="20"/>
          <w:vertAlign w:val="superscript"/>
        </w:rPr>
        <w:t>1</w:t>
      </w:r>
    </w:p>
    <w:p w14:paraId="4C995CC7" w14:textId="718D7C08" w:rsidR="0053028A" w:rsidRDefault="00BC0E6C" w:rsidP="00AB49D9">
      <w:pPr>
        <w:bidi w:val="0"/>
        <w:spacing w:after="0" w:line="240" w:lineRule="auto"/>
        <w:jc w:val="center"/>
        <w:rPr>
          <w:rFonts w:asciiTheme="majorBidi" w:hAnsiTheme="majorBidi" w:cstheme="majorBidi"/>
          <w:noProof/>
          <w:sz w:val="20"/>
          <w:szCs w:val="20"/>
        </w:rPr>
      </w:pPr>
      <w:r w:rsidRPr="00BC0E6C">
        <w:rPr>
          <w:rFonts w:asciiTheme="majorBidi" w:hAnsiTheme="majorBidi" w:cstheme="majorBidi" w:hint="cs"/>
          <w:noProof/>
          <w:sz w:val="20"/>
          <w:szCs w:val="20"/>
          <w:vertAlign w:val="superscript"/>
          <w:rtl/>
        </w:rPr>
        <w:t>1</w:t>
      </w:r>
      <w:r w:rsidR="0053028A" w:rsidRPr="0053028A">
        <w:rPr>
          <w:rFonts w:asciiTheme="majorBidi" w:hAnsiTheme="majorBidi" w:cstheme="majorBidi"/>
          <w:noProof/>
          <w:sz w:val="20"/>
          <w:szCs w:val="20"/>
        </w:rPr>
        <w:t>Medical Biochemistry&amp;Molecular Biology</w:t>
      </w:r>
      <w:r w:rsidR="0053028A" w:rsidRPr="0053028A">
        <w:rPr>
          <w:rFonts w:asciiTheme="majorBidi" w:hAnsiTheme="majorBidi" w:cstheme="majorBidi"/>
          <w:sz w:val="20"/>
          <w:szCs w:val="20"/>
        </w:rPr>
        <w:t xml:space="preserve"> </w:t>
      </w:r>
      <w:r w:rsidR="0053028A" w:rsidRPr="00BB34D2">
        <w:rPr>
          <w:rFonts w:asciiTheme="majorBidi" w:hAnsiTheme="majorBidi" w:cstheme="majorBidi"/>
          <w:sz w:val="20"/>
          <w:szCs w:val="20"/>
        </w:rPr>
        <w:t xml:space="preserve">Department, Faculty of Medicine, </w:t>
      </w:r>
      <w:proofErr w:type="spellStart"/>
      <w:r w:rsidR="0053028A" w:rsidRPr="00BB34D2">
        <w:rPr>
          <w:rFonts w:asciiTheme="majorBidi" w:hAnsiTheme="majorBidi" w:cstheme="majorBidi"/>
          <w:sz w:val="20"/>
          <w:szCs w:val="20"/>
        </w:rPr>
        <w:t>Benha</w:t>
      </w:r>
      <w:proofErr w:type="spellEnd"/>
      <w:r w:rsidR="0053028A" w:rsidRPr="00BB34D2">
        <w:rPr>
          <w:rFonts w:asciiTheme="majorBidi" w:hAnsiTheme="majorBidi" w:cstheme="majorBidi"/>
          <w:sz w:val="20"/>
          <w:szCs w:val="20"/>
        </w:rPr>
        <w:t xml:space="preserve"> University</w:t>
      </w:r>
    </w:p>
    <w:p w14:paraId="1BEA3B5F" w14:textId="5BDC23D5" w:rsidR="0053028A" w:rsidRDefault="00BC0E6C" w:rsidP="00AB49D9">
      <w:pPr>
        <w:bidi w:val="0"/>
        <w:spacing w:after="0" w:line="240" w:lineRule="auto"/>
        <w:jc w:val="center"/>
        <w:rPr>
          <w:rFonts w:asciiTheme="majorBidi" w:hAnsiTheme="majorBidi" w:cstheme="majorBidi"/>
          <w:noProof/>
          <w:sz w:val="20"/>
          <w:szCs w:val="20"/>
        </w:rPr>
      </w:pPr>
      <w:r w:rsidRPr="00BC0E6C">
        <w:rPr>
          <w:rFonts w:asciiTheme="majorBidi" w:hAnsiTheme="majorBidi" w:cstheme="majorBidi" w:hint="cs"/>
          <w:noProof/>
          <w:sz w:val="20"/>
          <w:szCs w:val="20"/>
          <w:vertAlign w:val="superscript"/>
          <w:rtl/>
        </w:rPr>
        <w:t>2</w:t>
      </w:r>
      <w:r w:rsidR="00AB49D9">
        <w:rPr>
          <w:rFonts w:asciiTheme="majorBidi" w:hAnsiTheme="majorBidi" w:cstheme="majorBidi"/>
          <w:noProof/>
          <w:sz w:val="20"/>
          <w:szCs w:val="20"/>
        </w:rPr>
        <w:t>General Surgery</w:t>
      </w:r>
      <w:r w:rsidR="0053028A" w:rsidRPr="0053028A">
        <w:rPr>
          <w:rFonts w:asciiTheme="majorBidi" w:hAnsiTheme="majorBidi" w:cstheme="majorBidi"/>
          <w:sz w:val="20"/>
          <w:szCs w:val="20"/>
        </w:rPr>
        <w:t xml:space="preserve"> </w:t>
      </w:r>
      <w:r w:rsidR="0053028A" w:rsidRPr="00BB34D2">
        <w:rPr>
          <w:rFonts w:asciiTheme="majorBidi" w:hAnsiTheme="majorBidi" w:cstheme="majorBidi"/>
          <w:sz w:val="20"/>
          <w:szCs w:val="20"/>
        </w:rPr>
        <w:t xml:space="preserve">Department, Faculty of Medicine, </w:t>
      </w:r>
      <w:proofErr w:type="spellStart"/>
      <w:r w:rsidR="0053028A" w:rsidRPr="00BB34D2">
        <w:rPr>
          <w:rFonts w:asciiTheme="majorBidi" w:hAnsiTheme="majorBidi" w:cstheme="majorBidi"/>
          <w:sz w:val="20"/>
          <w:szCs w:val="20"/>
        </w:rPr>
        <w:t>Benha</w:t>
      </w:r>
      <w:proofErr w:type="spellEnd"/>
      <w:r w:rsidR="0053028A" w:rsidRPr="00BB34D2">
        <w:rPr>
          <w:rFonts w:asciiTheme="majorBidi" w:hAnsiTheme="majorBidi" w:cstheme="majorBidi"/>
          <w:sz w:val="20"/>
          <w:szCs w:val="20"/>
        </w:rPr>
        <w:t xml:space="preserve"> University</w:t>
      </w:r>
    </w:p>
    <w:p w14:paraId="0B2CD8C7" w14:textId="183304C8" w:rsidR="0053028A" w:rsidRPr="0053028A" w:rsidRDefault="0053028A" w:rsidP="00AB49D9">
      <w:pPr>
        <w:bidi w:val="0"/>
        <w:spacing w:after="0" w:line="240" w:lineRule="auto"/>
        <w:jc w:val="center"/>
        <w:rPr>
          <w:rFonts w:asciiTheme="majorBidi" w:hAnsiTheme="majorBidi" w:cstheme="majorBidi"/>
          <w:noProof/>
          <w:sz w:val="20"/>
          <w:szCs w:val="20"/>
        </w:rPr>
      </w:pPr>
      <w:r w:rsidRPr="004366B0">
        <w:rPr>
          <w:rFonts w:asciiTheme="majorBidi" w:hAnsiTheme="majorBidi" w:cstheme="majorBidi"/>
          <w:b/>
          <w:bCs/>
          <w:sz w:val="20"/>
          <w:szCs w:val="20"/>
        </w:rPr>
        <w:t>E-Mail:</w:t>
      </w:r>
      <w:r w:rsidRPr="00C04DE7">
        <w:t xml:space="preserve"> </w:t>
      </w:r>
      <w:r w:rsidR="003C6F75" w:rsidRPr="003C6F75">
        <w:rPr>
          <w:rFonts w:asciiTheme="majorBidi" w:hAnsiTheme="majorBidi" w:cstheme="majorBidi"/>
          <w:noProof/>
          <w:sz w:val="20"/>
          <w:szCs w:val="20"/>
        </w:rPr>
        <w:t>Nourhan.attia.93@gmail.com</w:t>
      </w:r>
      <w:r w:rsidRPr="0053028A">
        <w:rPr>
          <w:rFonts w:asciiTheme="majorBidi" w:hAnsiTheme="majorBidi" w:cstheme="majorBidi"/>
          <w:noProof/>
          <w:sz w:val="20"/>
          <w:szCs w:val="20"/>
        </w:rPr>
        <w:tab/>
      </w:r>
    </w:p>
    <w:bookmarkEnd w:id="1"/>
    <w:p w14:paraId="60A75F3C" w14:textId="2D83F249" w:rsidR="003A493E" w:rsidRPr="001A5200" w:rsidRDefault="003A493E" w:rsidP="00190A6C">
      <w:pPr>
        <w:autoSpaceDE w:val="0"/>
        <w:autoSpaceDN w:val="0"/>
        <w:bidi w:val="0"/>
        <w:adjustRightInd w:val="0"/>
        <w:spacing w:after="0" w:line="240" w:lineRule="auto"/>
        <w:jc w:val="both"/>
        <w:rPr>
          <w:rFonts w:asciiTheme="majorBidi" w:hAnsiTheme="majorBidi" w:cstheme="majorBidi"/>
          <w:b/>
          <w:bCs/>
          <w:sz w:val="20"/>
          <w:szCs w:val="20"/>
          <w:rtl/>
          <w:lang w:bidi="ar-EG"/>
        </w:rPr>
      </w:pPr>
      <w:r w:rsidRPr="001A5200">
        <w:rPr>
          <w:rFonts w:asciiTheme="majorBidi" w:hAnsiTheme="majorBidi" w:cstheme="majorBidi"/>
          <w:b/>
          <w:bCs/>
          <w:sz w:val="20"/>
          <w:szCs w:val="20"/>
        </w:rPr>
        <w:t>Abstract</w:t>
      </w:r>
    </w:p>
    <w:p w14:paraId="4FDB0CF4" w14:textId="77777777" w:rsidR="00995EF1" w:rsidRPr="00995EF1" w:rsidRDefault="00995EF1" w:rsidP="00190A6C">
      <w:pPr>
        <w:bidi w:val="0"/>
        <w:spacing w:after="0" w:line="240" w:lineRule="auto"/>
        <w:jc w:val="lowKashida"/>
        <w:rPr>
          <w:rFonts w:asciiTheme="majorBidi" w:hAnsiTheme="majorBidi" w:cstheme="majorBidi"/>
          <w:sz w:val="20"/>
          <w:szCs w:val="20"/>
        </w:rPr>
      </w:pPr>
      <w:r w:rsidRPr="00995EF1">
        <w:rPr>
          <w:rFonts w:asciiTheme="majorBidi" w:hAnsiTheme="majorBidi" w:cstheme="majorBidi"/>
          <w:sz w:val="20"/>
          <w:szCs w:val="20"/>
        </w:rPr>
        <w:t>Two-thirds of colorectal cancers (CRCs) occur in more developed parts of the world, making it the third most frequent cancer globally after lung and breast cancers. All racial and ethnic groups are affected by CRC, which primarily affects those 50 years of age and older. This condition may arise as a result of a variety of circumstances, including environmental and hereditary ones. The majority of cases are discovered until after symptoms appear, despite the fact that colorectal cancer screening lowers the frequency of diagnosis at advanced stages. MicroRNAs (miRNA), which are frequently dysregulated in cancer, are crucial for regulating gene expression. Since miR-7 affects the expression of several oncogenes, revealing how miR-7 activity is regulated will probably help us better understand the causes of different types of cancer. The purpose of this study was to look at how miR-7 affects colorectal cancer. We discovered a strong correlation between CRC and miR-7</w:t>
      </w:r>
      <w:r w:rsidRPr="00995EF1">
        <w:rPr>
          <w:rFonts w:asciiTheme="majorBidi" w:hAnsiTheme="majorBidi" w:cs="Times New Roman"/>
          <w:sz w:val="20"/>
          <w:szCs w:val="20"/>
          <w:rtl/>
        </w:rPr>
        <w:t>.</w:t>
      </w:r>
    </w:p>
    <w:p w14:paraId="218CD338" w14:textId="77777777" w:rsidR="00995EF1" w:rsidRPr="00995EF1" w:rsidRDefault="00995EF1" w:rsidP="00190A6C">
      <w:pPr>
        <w:bidi w:val="0"/>
        <w:spacing w:after="0" w:line="240" w:lineRule="auto"/>
        <w:jc w:val="lowKashida"/>
        <w:rPr>
          <w:rFonts w:asciiTheme="majorBidi" w:hAnsiTheme="majorBidi" w:cstheme="majorBidi"/>
          <w:sz w:val="20"/>
          <w:szCs w:val="20"/>
        </w:rPr>
      </w:pPr>
      <w:proofErr w:type="gramStart"/>
      <w:r w:rsidRPr="00995EF1">
        <w:rPr>
          <w:rFonts w:asciiTheme="majorBidi" w:hAnsiTheme="majorBidi" w:cstheme="majorBidi"/>
          <w:sz w:val="20"/>
          <w:szCs w:val="20"/>
        </w:rPr>
        <w:t>miRNA-7</w:t>
      </w:r>
      <w:proofErr w:type="gramEnd"/>
      <w:r w:rsidRPr="00995EF1">
        <w:rPr>
          <w:rFonts w:asciiTheme="majorBidi" w:hAnsiTheme="majorBidi" w:cstheme="majorBidi"/>
          <w:sz w:val="20"/>
          <w:szCs w:val="20"/>
        </w:rPr>
        <w:t xml:space="preserve"> is circulating as a possible non-invasive biomarker for several illnesses and disorders, including colorectal cancer. This study sought to determine whether microRNA-7 may be used as a diagnostic tool for colorectal cancer</w:t>
      </w:r>
      <w:r w:rsidRPr="00995EF1">
        <w:rPr>
          <w:rFonts w:asciiTheme="majorBidi" w:hAnsiTheme="majorBidi" w:cs="Times New Roman"/>
          <w:sz w:val="20"/>
          <w:szCs w:val="20"/>
          <w:rtl/>
        </w:rPr>
        <w:t>.</w:t>
      </w:r>
    </w:p>
    <w:p w14:paraId="0A332FFE" w14:textId="4BC7B980" w:rsidR="002E23B3" w:rsidRDefault="0053028A" w:rsidP="00190A6C">
      <w:pPr>
        <w:bidi w:val="0"/>
        <w:spacing w:after="0" w:line="240" w:lineRule="auto"/>
        <w:jc w:val="lowKashida"/>
        <w:rPr>
          <w:rFonts w:asciiTheme="majorBidi" w:hAnsiTheme="majorBidi" w:cstheme="majorBidi"/>
          <w:b/>
          <w:bCs/>
          <w:sz w:val="20"/>
          <w:szCs w:val="20"/>
        </w:rPr>
      </w:pPr>
      <w:r w:rsidRPr="0072072B">
        <w:rPr>
          <w:rFonts w:asciiTheme="majorBidi" w:eastAsia="Calibri" w:hAnsiTheme="majorBidi" w:cstheme="majorBidi"/>
          <w:b/>
          <w:bCs/>
          <w:noProof/>
          <w:sz w:val="20"/>
          <w:szCs w:val="20"/>
        </w:rPr>
        <w:t>Keywords</w:t>
      </w:r>
      <w:r w:rsidR="00EB795A" w:rsidRPr="001A5200">
        <w:rPr>
          <w:rFonts w:asciiTheme="majorBidi" w:hAnsiTheme="majorBidi" w:cstheme="majorBidi"/>
          <w:b/>
          <w:bCs/>
          <w:sz w:val="20"/>
          <w:szCs w:val="20"/>
        </w:rPr>
        <w:t xml:space="preserve">: </w:t>
      </w:r>
      <w:r w:rsidR="00083126">
        <w:rPr>
          <w:rFonts w:asciiTheme="majorBidi" w:hAnsiTheme="majorBidi" w:cstheme="majorBidi"/>
          <w:sz w:val="20"/>
          <w:szCs w:val="20"/>
        </w:rPr>
        <w:t>Colorectal cancer and microRNA-7.</w:t>
      </w:r>
    </w:p>
    <w:p w14:paraId="502B3BAF" w14:textId="58449E69" w:rsidR="001A5200" w:rsidRPr="001A5200" w:rsidRDefault="001A5200" w:rsidP="00190A6C">
      <w:pPr>
        <w:bidi w:val="0"/>
        <w:spacing w:after="0" w:line="240" w:lineRule="auto"/>
        <w:jc w:val="lowKashida"/>
        <w:rPr>
          <w:rFonts w:asciiTheme="majorBidi" w:eastAsia="Calibri" w:hAnsiTheme="majorBidi" w:cstheme="majorBidi"/>
          <w:b/>
          <w:bCs/>
          <w:sz w:val="20"/>
          <w:szCs w:val="20"/>
        </w:rPr>
        <w:sectPr w:rsidR="001A5200" w:rsidRPr="001A5200" w:rsidSect="00E8712B">
          <w:headerReference w:type="even" r:id="rId9"/>
          <w:headerReference w:type="default" r:id="rId10"/>
          <w:headerReference w:type="first" r:id="rId11"/>
          <w:pgSz w:w="11909" w:h="16834" w:code="9"/>
          <w:pgMar w:top="1440" w:right="929" w:bottom="1440" w:left="1080" w:header="720" w:footer="720" w:gutter="0"/>
          <w:cols w:space="720"/>
          <w:titlePg/>
          <w:docGrid w:linePitch="360"/>
        </w:sectPr>
      </w:pPr>
    </w:p>
    <w:p w14:paraId="2B93215E" w14:textId="1AE95772" w:rsidR="003E6125" w:rsidRPr="001A5200" w:rsidRDefault="008A22B5" w:rsidP="00190A6C">
      <w:pPr>
        <w:bidi w:val="0"/>
        <w:spacing w:after="0" w:line="240" w:lineRule="auto"/>
        <w:jc w:val="lowKashida"/>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lastRenderedPageBreak/>
        <w:t>1.</w:t>
      </w:r>
      <w:r w:rsidR="003E6125" w:rsidRPr="001A5200">
        <w:rPr>
          <w:rFonts w:asciiTheme="majorBidi" w:eastAsia="Calibri" w:hAnsiTheme="majorBidi" w:cstheme="majorBidi"/>
          <w:b/>
          <w:bCs/>
          <w:sz w:val="20"/>
          <w:szCs w:val="20"/>
        </w:rPr>
        <w:t>Introduction</w:t>
      </w:r>
    </w:p>
    <w:p w14:paraId="50602E5B" w14:textId="77777777" w:rsidR="00995EF1" w:rsidRPr="00995EF1" w:rsidRDefault="00995EF1" w:rsidP="00190A6C">
      <w:pPr>
        <w:bidi w:val="0"/>
        <w:spacing w:after="0" w:line="240" w:lineRule="auto"/>
        <w:ind w:firstLine="540"/>
        <w:jc w:val="lowKashida"/>
        <w:rPr>
          <w:rFonts w:asciiTheme="majorBidi" w:hAnsiTheme="majorBidi" w:cstheme="majorBidi"/>
          <w:sz w:val="20"/>
          <w:szCs w:val="20"/>
        </w:rPr>
      </w:pPr>
      <w:r w:rsidRPr="00995EF1">
        <w:rPr>
          <w:rFonts w:asciiTheme="majorBidi" w:hAnsiTheme="majorBidi" w:cstheme="majorBidi"/>
          <w:sz w:val="20"/>
          <w:szCs w:val="20"/>
        </w:rPr>
        <w:t>Globally, colorectal cancer (CRC) ranks fourth in terms of cancer-related mortality and is the third most frequent kind of cancer [1]. Individual risk for colorectal cancer (CRC) is influenced by both lifestyle and hereditary variables, making it a complicated illness</w:t>
      </w:r>
      <w:r w:rsidRPr="00995EF1">
        <w:rPr>
          <w:rFonts w:asciiTheme="majorBidi" w:hAnsiTheme="majorBidi" w:cs="Times New Roman"/>
          <w:sz w:val="20"/>
          <w:szCs w:val="20"/>
          <w:rtl/>
        </w:rPr>
        <w:t xml:space="preserve"> [2].</w:t>
      </w:r>
    </w:p>
    <w:p w14:paraId="4EF10395" w14:textId="77777777" w:rsidR="006C30C6" w:rsidRDefault="006C30C6" w:rsidP="00190A6C">
      <w:pPr>
        <w:bidi w:val="0"/>
        <w:spacing w:after="0" w:line="240" w:lineRule="auto"/>
        <w:ind w:firstLine="540"/>
        <w:jc w:val="lowKashida"/>
        <w:rPr>
          <w:rFonts w:asciiTheme="majorBidi" w:hAnsiTheme="majorBidi" w:cstheme="majorBidi"/>
          <w:sz w:val="20"/>
          <w:szCs w:val="20"/>
          <w:rtl/>
        </w:rPr>
      </w:pPr>
      <w:r w:rsidRPr="006C30C6">
        <w:rPr>
          <w:rFonts w:asciiTheme="majorBidi" w:hAnsiTheme="majorBidi" w:cstheme="majorBidi"/>
          <w:sz w:val="20"/>
          <w:szCs w:val="20"/>
        </w:rPr>
        <w:t xml:space="preserve">Colorectal cancer has been linked to a wide variety of disorders. </w:t>
      </w:r>
      <w:proofErr w:type="gramStart"/>
      <w:r w:rsidRPr="006C30C6">
        <w:rPr>
          <w:rFonts w:asciiTheme="majorBidi" w:hAnsiTheme="majorBidi" w:cstheme="majorBidi"/>
          <w:sz w:val="20"/>
          <w:szCs w:val="20"/>
        </w:rPr>
        <w:t>A</w:t>
      </w:r>
      <w:proofErr w:type="gramEnd"/>
      <w:r w:rsidRPr="006C30C6">
        <w:rPr>
          <w:rFonts w:asciiTheme="majorBidi" w:hAnsiTheme="majorBidi" w:cstheme="majorBidi"/>
          <w:sz w:val="20"/>
          <w:szCs w:val="20"/>
        </w:rPr>
        <w:t xml:space="preserve"> increased risk of acquiring colorectal cancer (CRC) is associated with a history of cancer, colon polyps, inflammatory bowel disease (IBD), diabetes mellitus, or cholecystectomy, according to research. The etiology of colorectal cancer can be significantly influenced by lifestyle variables [3]. Colorectal cancer risk factors include being overweight or obese, not exercising, smoking, drinking alcohol, and eating an unhealthy diet heavy in red and processed meat and low in fiber, fruits, vegetables, calcium, and other nutrients. Factors known to influence colorectal cancer risk include the gut microbiota, gender, age, race, and socioeconomic status [4].</w:t>
      </w:r>
    </w:p>
    <w:p w14:paraId="53400140" w14:textId="294ECBE6" w:rsidR="00995EF1" w:rsidRPr="00995EF1" w:rsidRDefault="00995EF1" w:rsidP="00190A6C">
      <w:pPr>
        <w:bidi w:val="0"/>
        <w:spacing w:after="0" w:line="240" w:lineRule="auto"/>
        <w:ind w:firstLine="540"/>
        <w:jc w:val="lowKashida"/>
        <w:rPr>
          <w:rFonts w:asciiTheme="majorBidi" w:hAnsiTheme="majorBidi" w:cstheme="majorBidi"/>
          <w:sz w:val="20"/>
          <w:szCs w:val="20"/>
        </w:rPr>
      </w:pPr>
      <w:r w:rsidRPr="00995EF1">
        <w:rPr>
          <w:rFonts w:asciiTheme="majorBidi" w:hAnsiTheme="majorBidi" w:cstheme="majorBidi"/>
          <w:sz w:val="20"/>
          <w:szCs w:val="20"/>
        </w:rPr>
        <w:t>It has been demonstrated that a number of screening instruments have the ability to significantly lower the incidence and death of colorectal cancer during the last three decades. These include flexible sigmoidoscopy, colonoscopy, and fecal occult blood tests (</w:t>
      </w:r>
      <w:proofErr w:type="spellStart"/>
      <w:r w:rsidRPr="00995EF1">
        <w:rPr>
          <w:rFonts w:asciiTheme="majorBidi" w:hAnsiTheme="majorBidi" w:cstheme="majorBidi"/>
          <w:sz w:val="20"/>
          <w:szCs w:val="20"/>
        </w:rPr>
        <w:t>faecal</w:t>
      </w:r>
      <w:proofErr w:type="spellEnd"/>
      <w:r w:rsidRPr="00995EF1">
        <w:rPr>
          <w:rFonts w:asciiTheme="majorBidi" w:hAnsiTheme="majorBidi" w:cstheme="majorBidi"/>
          <w:sz w:val="20"/>
          <w:szCs w:val="20"/>
        </w:rPr>
        <w:t xml:space="preserve"> immunochemical tests [FITs], which are now the most popular tests because to their superior diagnostic performance and acceptability over the conventional guaiac-based </w:t>
      </w:r>
      <w:proofErr w:type="spellStart"/>
      <w:r w:rsidRPr="00995EF1">
        <w:rPr>
          <w:rFonts w:asciiTheme="majorBidi" w:hAnsiTheme="majorBidi" w:cstheme="majorBidi"/>
          <w:sz w:val="20"/>
          <w:szCs w:val="20"/>
        </w:rPr>
        <w:t>faecal</w:t>
      </w:r>
      <w:proofErr w:type="spellEnd"/>
      <w:r w:rsidRPr="00995EF1">
        <w:rPr>
          <w:rFonts w:asciiTheme="majorBidi" w:hAnsiTheme="majorBidi" w:cstheme="majorBidi"/>
          <w:sz w:val="20"/>
          <w:szCs w:val="20"/>
        </w:rPr>
        <w:t xml:space="preserve"> occult blood tests [</w:t>
      </w:r>
      <w:proofErr w:type="spellStart"/>
      <w:r w:rsidRPr="00995EF1">
        <w:rPr>
          <w:rFonts w:asciiTheme="majorBidi" w:hAnsiTheme="majorBidi" w:cstheme="majorBidi"/>
          <w:sz w:val="20"/>
          <w:szCs w:val="20"/>
        </w:rPr>
        <w:t>gFOBTs</w:t>
      </w:r>
      <w:proofErr w:type="spellEnd"/>
      <w:r w:rsidRPr="00995EF1">
        <w:rPr>
          <w:rFonts w:asciiTheme="majorBidi" w:hAnsiTheme="majorBidi" w:cstheme="majorBidi"/>
          <w:sz w:val="20"/>
          <w:szCs w:val="20"/>
        </w:rPr>
        <w:t>])</w:t>
      </w:r>
      <w:r w:rsidRPr="00995EF1">
        <w:rPr>
          <w:rFonts w:asciiTheme="majorBidi" w:hAnsiTheme="majorBidi" w:cs="Times New Roman"/>
          <w:sz w:val="20"/>
          <w:szCs w:val="20"/>
          <w:rtl/>
        </w:rPr>
        <w:t xml:space="preserve"> [5].</w:t>
      </w:r>
    </w:p>
    <w:p w14:paraId="597CD043" w14:textId="77777777" w:rsidR="00995EF1" w:rsidRPr="00995EF1" w:rsidRDefault="00995EF1" w:rsidP="00190A6C">
      <w:pPr>
        <w:bidi w:val="0"/>
        <w:spacing w:after="0" w:line="240" w:lineRule="auto"/>
        <w:ind w:firstLine="540"/>
        <w:jc w:val="lowKashida"/>
        <w:rPr>
          <w:rFonts w:asciiTheme="majorBidi" w:hAnsiTheme="majorBidi" w:cstheme="majorBidi"/>
          <w:sz w:val="20"/>
          <w:szCs w:val="20"/>
        </w:rPr>
      </w:pPr>
      <w:r w:rsidRPr="00995EF1">
        <w:rPr>
          <w:rFonts w:asciiTheme="majorBidi" w:hAnsiTheme="majorBidi" w:cstheme="majorBidi"/>
          <w:sz w:val="20"/>
          <w:szCs w:val="20"/>
        </w:rPr>
        <w:t xml:space="preserve">Single-stranded RNAs with a length of 19–24 nucleotides that do not code are known as endogenous microRNAs (miRNAs) [6]. When these posttranscriptional regulators bind to the target gene's 3' untranslated region (UTR), they destabilize the mRNA and suppress translation, which in turn inhibits protein production and translation [7]. The best molecules to use as biomarkers are miRNAs. Recent data indicates that miRNAs may act as tumor suppressors or oncogenes by </w:t>
      </w:r>
      <w:r w:rsidRPr="00995EF1">
        <w:rPr>
          <w:rFonts w:asciiTheme="majorBidi" w:hAnsiTheme="majorBidi" w:cstheme="majorBidi"/>
          <w:sz w:val="20"/>
          <w:szCs w:val="20"/>
        </w:rPr>
        <w:lastRenderedPageBreak/>
        <w:t>influencing carcinogenesis, proliferation, and apoptosis</w:t>
      </w:r>
      <w:r w:rsidRPr="00995EF1">
        <w:rPr>
          <w:rFonts w:asciiTheme="majorBidi" w:hAnsiTheme="majorBidi" w:cs="Times New Roman"/>
          <w:sz w:val="20"/>
          <w:szCs w:val="20"/>
          <w:rtl/>
        </w:rPr>
        <w:t xml:space="preserve"> [8].</w:t>
      </w:r>
    </w:p>
    <w:p w14:paraId="572E66CB" w14:textId="77777777" w:rsidR="006C30C6" w:rsidRPr="006C30C6" w:rsidRDefault="006C30C6" w:rsidP="00190A6C">
      <w:pPr>
        <w:bidi w:val="0"/>
        <w:spacing w:after="0" w:line="240" w:lineRule="auto"/>
        <w:jc w:val="lowKashida"/>
        <w:rPr>
          <w:rFonts w:asciiTheme="majorBidi" w:hAnsiTheme="majorBidi" w:cstheme="majorBidi"/>
          <w:sz w:val="20"/>
          <w:szCs w:val="20"/>
        </w:rPr>
      </w:pPr>
      <w:r w:rsidRPr="006C30C6">
        <w:rPr>
          <w:rFonts w:asciiTheme="majorBidi" w:hAnsiTheme="majorBidi" w:cstheme="majorBidi"/>
          <w:sz w:val="20"/>
          <w:szCs w:val="20"/>
        </w:rPr>
        <w:t>A potential tumor suppressor in hepatocellular carcinoma, gastric cancer, and colorectal cancer has been found by concentrating on several oncogenic signaling pathways; miR-7 is one of these pathways. A number of fundamental biological processes in cancer cells are also controlled by it</w:t>
      </w:r>
      <w:r w:rsidRPr="006C30C6">
        <w:rPr>
          <w:rFonts w:asciiTheme="majorBidi" w:hAnsiTheme="majorBidi" w:cs="Times New Roman"/>
          <w:sz w:val="20"/>
          <w:szCs w:val="20"/>
          <w:rtl/>
        </w:rPr>
        <w:t xml:space="preserve"> [9].</w:t>
      </w:r>
    </w:p>
    <w:p w14:paraId="2A2A5DA1" w14:textId="77777777" w:rsidR="006C30C6" w:rsidRPr="006C30C6" w:rsidRDefault="006C30C6" w:rsidP="00190A6C">
      <w:pPr>
        <w:bidi w:val="0"/>
        <w:spacing w:after="0" w:line="240" w:lineRule="auto"/>
        <w:jc w:val="lowKashida"/>
        <w:rPr>
          <w:rFonts w:asciiTheme="majorBidi" w:hAnsiTheme="majorBidi" w:cstheme="majorBidi"/>
          <w:sz w:val="20"/>
          <w:szCs w:val="20"/>
        </w:rPr>
      </w:pPr>
      <w:r w:rsidRPr="006C30C6">
        <w:rPr>
          <w:rFonts w:asciiTheme="majorBidi" w:hAnsiTheme="majorBidi" w:cstheme="majorBidi"/>
          <w:sz w:val="20"/>
          <w:szCs w:val="20"/>
        </w:rPr>
        <w:t>It has been demonstrated in vitro that miR-7 targets the EGFR (10). One downstream gene that miR-7 targets is RAF-1, or v-raf-1 murine leukemia viral oncogene homolog 1, as found by Rai et al. Consequently, tumor resistance to EGFR inhibition therapy is already a problem in clinical practice; miR-7 modification might help</w:t>
      </w:r>
      <w:r w:rsidRPr="006C30C6">
        <w:rPr>
          <w:rFonts w:asciiTheme="majorBidi" w:hAnsiTheme="majorBidi" w:cs="Times New Roman"/>
          <w:sz w:val="20"/>
          <w:szCs w:val="20"/>
          <w:rtl/>
        </w:rPr>
        <w:t xml:space="preserve"> [10].</w:t>
      </w:r>
    </w:p>
    <w:p w14:paraId="3656A1D6" w14:textId="77777777" w:rsidR="006C30C6" w:rsidRPr="006C30C6" w:rsidRDefault="006C30C6" w:rsidP="00190A6C">
      <w:pPr>
        <w:bidi w:val="0"/>
        <w:spacing w:after="0" w:line="240" w:lineRule="auto"/>
        <w:jc w:val="lowKashida"/>
        <w:rPr>
          <w:rFonts w:asciiTheme="majorBidi" w:hAnsiTheme="majorBidi" w:cstheme="majorBidi"/>
          <w:sz w:val="20"/>
          <w:szCs w:val="20"/>
        </w:rPr>
      </w:pPr>
      <w:r w:rsidRPr="006C30C6">
        <w:rPr>
          <w:rFonts w:asciiTheme="majorBidi" w:hAnsiTheme="majorBidi" w:cstheme="majorBidi"/>
          <w:sz w:val="20"/>
          <w:szCs w:val="20"/>
        </w:rPr>
        <w:t xml:space="preserve">The fact that miR-7 inhibits the activity of several cancer-related signaling pathways—including those involving the EGF receptor, IRS-142, Raf122, and </w:t>
      </w:r>
      <w:proofErr w:type="spellStart"/>
      <w:r w:rsidRPr="006C30C6">
        <w:rPr>
          <w:rFonts w:asciiTheme="majorBidi" w:hAnsiTheme="majorBidi" w:cstheme="majorBidi"/>
          <w:sz w:val="20"/>
          <w:szCs w:val="20"/>
        </w:rPr>
        <w:t>Kruppel</w:t>
      </w:r>
      <w:proofErr w:type="spellEnd"/>
      <w:r w:rsidRPr="006C30C6">
        <w:rPr>
          <w:rFonts w:asciiTheme="majorBidi" w:hAnsiTheme="majorBidi" w:cstheme="majorBidi"/>
          <w:sz w:val="20"/>
          <w:szCs w:val="20"/>
        </w:rPr>
        <w:t>-like factor 4-mediated stem cell production—strongly suggests that it has a tumor-suppressing role</w:t>
      </w:r>
      <w:r w:rsidRPr="006C30C6">
        <w:rPr>
          <w:rFonts w:asciiTheme="majorBidi" w:hAnsiTheme="majorBidi" w:cs="Times New Roman"/>
          <w:sz w:val="20"/>
          <w:szCs w:val="20"/>
          <w:rtl/>
        </w:rPr>
        <w:t xml:space="preserve"> [11].</w:t>
      </w:r>
    </w:p>
    <w:p w14:paraId="348B58FF" w14:textId="77777777" w:rsidR="006C30C6" w:rsidRPr="006C30C6" w:rsidRDefault="006C30C6" w:rsidP="00190A6C">
      <w:pPr>
        <w:bidi w:val="0"/>
        <w:spacing w:after="0" w:line="240" w:lineRule="auto"/>
        <w:jc w:val="lowKashida"/>
        <w:rPr>
          <w:rFonts w:asciiTheme="majorBidi" w:hAnsiTheme="majorBidi" w:cstheme="majorBidi"/>
          <w:sz w:val="20"/>
          <w:szCs w:val="20"/>
        </w:rPr>
      </w:pPr>
      <w:r w:rsidRPr="006C30C6">
        <w:rPr>
          <w:rFonts w:asciiTheme="majorBidi" w:hAnsiTheme="majorBidi" w:cs="Times New Roman"/>
          <w:sz w:val="20"/>
          <w:szCs w:val="20"/>
          <w:rtl/>
        </w:rPr>
        <w:t xml:space="preserve">  </w:t>
      </w:r>
      <w:r w:rsidRPr="006C30C6">
        <w:rPr>
          <w:rFonts w:asciiTheme="majorBidi" w:hAnsiTheme="majorBidi" w:cstheme="majorBidi"/>
          <w:sz w:val="20"/>
          <w:szCs w:val="20"/>
        </w:rPr>
        <w:t>It has been demonstrated that MiR-7 is downregulated in colorectal cancer (CRC) and that it regulates multiple oncogenic signal transduction pathways, including the RAF/MEK/ERK and PI3K/AKT pathways, suggesting that it may serve as a tumor suppressor</w:t>
      </w:r>
      <w:r w:rsidRPr="006C30C6">
        <w:rPr>
          <w:rFonts w:asciiTheme="majorBidi" w:hAnsiTheme="majorBidi" w:cs="Times New Roman"/>
          <w:sz w:val="20"/>
          <w:szCs w:val="20"/>
          <w:rtl/>
        </w:rPr>
        <w:t xml:space="preserve"> [12].</w:t>
      </w:r>
    </w:p>
    <w:p w14:paraId="45D53507" w14:textId="67FD54FD" w:rsidR="003C3580" w:rsidRPr="001A5200" w:rsidRDefault="008A22B5" w:rsidP="00190A6C">
      <w:pPr>
        <w:bidi w:val="0"/>
        <w:spacing w:after="0" w:line="240" w:lineRule="auto"/>
        <w:jc w:val="lowKashida"/>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t>2.</w:t>
      </w:r>
      <w:r w:rsidR="003C3580" w:rsidRPr="001A5200">
        <w:rPr>
          <w:rFonts w:asciiTheme="majorBidi" w:eastAsia="Calibri" w:hAnsiTheme="majorBidi" w:cstheme="majorBidi"/>
          <w:b/>
          <w:bCs/>
          <w:sz w:val="20"/>
          <w:szCs w:val="20"/>
        </w:rPr>
        <w:t xml:space="preserve">Subject and </w:t>
      </w:r>
      <w:r w:rsidRPr="001A5200">
        <w:rPr>
          <w:rFonts w:asciiTheme="majorBidi" w:eastAsia="Calibri" w:hAnsiTheme="majorBidi" w:cstheme="majorBidi"/>
          <w:b/>
          <w:bCs/>
          <w:sz w:val="20"/>
          <w:szCs w:val="20"/>
        </w:rPr>
        <w:t>M</w:t>
      </w:r>
      <w:r w:rsidR="003C3580" w:rsidRPr="001A5200">
        <w:rPr>
          <w:rFonts w:asciiTheme="majorBidi" w:eastAsia="Calibri" w:hAnsiTheme="majorBidi" w:cstheme="majorBidi"/>
          <w:b/>
          <w:bCs/>
          <w:sz w:val="20"/>
          <w:szCs w:val="20"/>
        </w:rPr>
        <w:t>ethods</w:t>
      </w:r>
    </w:p>
    <w:p w14:paraId="03CEDF5F" w14:textId="77777777" w:rsidR="00995EF1" w:rsidRPr="00995EF1" w:rsidRDefault="00995EF1" w:rsidP="00190A6C">
      <w:pPr>
        <w:bidi w:val="0"/>
        <w:spacing w:after="0" w:line="240" w:lineRule="auto"/>
        <w:jc w:val="lowKashida"/>
        <w:rPr>
          <w:rFonts w:asciiTheme="majorBidi" w:hAnsiTheme="majorBidi" w:cstheme="majorBidi"/>
          <w:sz w:val="20"/>
          <w:szCs w:val="20"/>
        </w:rPr>
      </w:pPr>
      <w:r w:rsidRPr="00995EF1">
        <w:rPr>
          <w:rFonts w:asciiTheme="majorBidi" w:hAnsiTheme="majorBidi" w:cstheme="majorBidi"/>
          <w:sz w:val="20"/>
          <w:szCs w:val="20"/>
        </w:rPr>
        <w:t xml:space="preserve">Following approval by the </w:t>
      </w:r>
      <w:proofErr w:type="spellStart"/>
      <w:r w:rsidRPr="00995EF1">
        <w:rPr>
          <w:rFonts w:asciiTheme="majorBidi" w:hAnsiTheme="majorBidi" w:cstheme="majorBidi"/>
          <w:sz w:val="20"/>
          <w:szCs w:val="20"/>
        </w:rPr>
        <w:t>Benha</w:t>
      </w:r>
      <w:proofErr w:type="spellEnd"/>
      <w:r w:rsidRPr="00995EF1">
        <w:rPr>
          <w:rFonts w:asciiTheme="majorBidi" w:hAnsiTheme="majorBidi" w:cstheme="majorBidi"/>
          <w:sz w:val="20"/>
          <w:szCs w:val="20"/>
        </w:rPr>
        <w:t xml:space="preserve"> Faculty of Medicine's Research Ethical Committee and written informed consent from each participant, 90 participants—45 from the General Surgery Department at </w:t>
      </w:r>
      <w:proofErr w:type="spellStart"/>
      <w:r w:rsidRPr="00995EF1">
        <w:rPr>
          <w:rFonts w:asciiTheme="majorBidi" w:hAnsiTheme="majorBidi" w:cstheme="majorBidi"/>
          <w:sz w:val="20"/>
          <w:szCs w:val="20"/>
        </w:rPr>
        <w:t>Benha</w:t>
      </w:r>
      <w:proofErr w:type="spellEnd"/>
      <w:r w:rsidRPr="00995EF1">
        <w:rPr>
          <w:rFonts w:asciiTheme="majorBidi" w:hAnsiTheme="majorBidi" w:cstheme="majorBidi"/>
          <w:sz w:val="20"/>
          <w:szCs w:val="20"/>
        </w:rPr>
        <w:t xml:space="preserve"> University Hospital and 45 from a healthy control group—participated in the study. In addition to 45 patients with colorectal cancer (CRC), there were 45 volunteers who were healthy and matched by age and sex</w:t>
      </w:r>
      <w:r w:rsidRPr="00995EF1">
        <w:rPr>
          <w:rFonts w:asciiTheme="majorBidi" w:hAnsiTheme="majorBidi" w:cs="Times New Roman"/>
          <w:sz w:val="20"/>
          <w:szCs w:val="20"/>
          <w:rtl/>
        </w:rPr>
        <w:t>.</w:t>
      </w:r>
    </w:p>
    <w:p w14:paraId="325BFED4" w14:textId="77777777" w:rsidR="00995EF1" w:rsidRPr="00995EF1" w:rsidRDefault="00995EF1" w:rsidP="00190A6C">
      <w:pPr>
        <w:bidi w:val="0"/>
        <w:spacing w:after="0" w:line="240" w:lineRule="auto"/>
        <w:jc w:val="lowKashida"/>
        <w:rPr>
          <w:rFonts w:asciiTheme="majorBidi" w:hAnsiTheme="majorBidi" w:cstheme="majorBidi"/>
          <w:sz w:val="20"/>
          <w:szCs w:val="20"/>
        </w:rPr>
      </w:pPr>
      <w:r w:rsidRPr="00995EF1">
        <w:rPr>
          <w:rFonts w:asciiTheme="majorBidi" w:hAnsiTheme="majorBidi" w:cstheme="majorBidi"/>
          <w:sz w:val="20"/>
          <w:szCs w:val="20"/>
        </w:rPr>
        <w:t xml:space="preserve">The blood </w:t>
      </w:r>
      <w:proofErr w:type="spellStart"/>
      <w:r w:rsidRPr="00995EF1">
        <w:rPr>
          <w:rFonts w:asciiTheme="majorBidi" w:hAnsiTheme="majorBidi" w:cstheme="majorBidi"/>
          <w:sz w:val="20"/>
          <w:szCs w:val="20"/>
        </w:rPr>
        <w:t>Blood</w:t>
      </w:r>
      <w:proofErr w:type="spellEnd"/>
      <w:r w:rsidRPr="00995EF1">
        <w:rPr>
          <w:rFonts w:asciiTheme="majorBidi" w:hAnsiTheme="majorBidi" w:cstheme="majorBidi"/>
          <w:sz w:val="20"/>
          <w:szCs w:val="20"/>
        </w:rPr>
        <w:t xml:space="preserve"> was drawn in an EDTA tube, separated into many parts, and then moved to a tube devoid of RNase. Until the RNA was isolated, the whole blood and plasma samples were stored at -80°C</w:t>
      </w:r>
      <w:r w:rsidRPr="00995EF1">
        <w:rPr>
          <w:rFonts w:asciiTheme="majorBidi" w:hAnsiTheme="majorBidi" w:cs="Times New Roman"/>
          <w:sz w:val="20"/>
          <w:szCs w:val="20"/>
          <w:rtl/>
        </w:rPr>
        <w:t>.</w:t>
      </w:r>
    </w:p>
    <w:p w14:paraId="0C332C9C" w14:textId="7D545CAA" w:rsidR="00505EA3" w:rsidRPr="00505EA3" w:rsidRDefault="00505EA3" w:rsidP="00190A6C">
      <w:pPr>
        <w:bidi w:val="0"/>
        <w:spacing w:after="0" w:line="240" w:lineRule="auto"/>
        <w:jc w:val="lowKashida"/>
        <w:rPr>
          <w:rFonts w:asciiTheme="majorBidi" w:hAnsiTheme="majorBidi" w:cstheme="majorBidi"/>
          <w:b/>
          <w:bCs/>
          <w:sz w:val="20"/>
          <w:szCs w:val="20"/>
        </w:rPr>
      </w:pPr>
      <w:r w:rsidRPr="00505EA3">
        <w:rPr>
          <w:rFonts w:asciiTheme="majorBidi" w:hAnsiTheme="majorBidi" w:cstheme="majorBidi"/>
          <w:b/>
          <w:bCs/>
          <w:sz w:val="20"/>
          <w:szCs w:val="20"/>
        </w:rPr>
        <w:lastRenderedPageBreak/>
        <w:t>Estimation of miRNAs expression levels according to the following steps</w:t>
      </w:r>
      <w:r w:rsidRPr="00505EA3">
        <w:rPr>
          <w:rFonts w:asciiTheme="majorBidi" w:hAnsiTheme="majorBidi" w:cs="Times New Roman"/>
          <w:b/>
          <w:bCs/>
          <w:sz w:val="20"/>
          <w:szCs w:val="20"/>
          <w:rtl/>
        </w:rPr>
        <w:t>:</w:t>
      </w:r>
    </w:p>
    <w:p w14:paraId="2243098E" w14:textId="4A355DA1" w:rsidR="00505EA3" w:rsidRPr="00E35137" w:rsidRDefault="00505EA3" w:rsidP="00E35137">
      <w:pPr>
        <w:pStyle w:val="ListParagraph"/>
        <w:numPr>
          <w:ilvl w:val="0"/>
          <w:numId w:val="19"/>
        </w:numPr>
        <w:bidi w:val="0"/>
        <w:spacing w:after="0" w:line="240" w:lineRule="auto"/>
        <w:ind w:left="0" w:firstLine="0"/>
        <w:contextualSpacing w:val="0"/>
        <w:jc w:val="lowKashida"/>
        <w:rPr>
          <w:rFonts w:asciiTheme="majorBidi" w:hAnsiTheme="majorBidi" w:cstheme="majorBidi"/>
          <w:sz w:val="20"/>
          <w:szCs w:val="20"/>
        </w:rPr>
      </w:pPr>
      <w:r w:rsidRPr="00505EA3">
        <w:rPr>
          <w:rFonts w:asciiTheme="majorBidi" w:hAnsiTheme="majorBidi" w:cstheme="majorBidi"/>
          <w:sz w:val="20"/>
          <w:szCs w:val="20"/>
        </w:rPr>
        <w:t>Total RNA including microRNA extraction</w:t>
      </w:r>
      <w:r w:rsidR="00E35137" w:rsidRPr="00E35137">
        <w:rPr>
          <w:rFonts w:asciiTheme="majorBidi" w:hAnsiTheme="majorBidi" w:cstheme="majorBidi"/>
          <w:sz w:val="20"/>
          <w:szCs w:val="20"/>
        </w:rPr>
        <w:t xml:space="preserve"> by total RNA Purification Kit &amp; reverse transcription of RNA into </w:t>
      </w:r>
      <w:proofErr w:type="spellStart"/>
      <w:r w:rsidR="00E35137" w:rsidRPr="00E35137">
        <w:rPr>
          <w:rFonts w:asciiTheme="majorBidi" w:hAnsiTheme="majorBidi" w:cstheme="majorBidi"/>
          <w:sz w:val="20"/>
          <w:szCs w:val="20"/>
        </w:rPr>
        <w:t>cDNA</w:t>
      </w:r>
      <w:proofErr w:type="spellEnd"/>
      <w:r w:rsidRPr="00E35137">
        <w:rPr>
          <w:rFonts w:asciiTheme="majorBidi" w:hAnsiTheme="majorBidi" w:cs="Times New Roman"/>
          <w:sz w:val="20"/>
          <w:szCs w:val="20"/>
          <w:rtl/>
        </w:rPr>
        <w:t>.</w:t>
      </w:r>
    </w:p>
    <w:p w14:paraId="00D25EDD" w14:textId="3ED3AC11" w:rsidR="00505EA3" w:rsidRPr="00E35137" w:rsidRDefault="00505EA3" w:rsidP="00E35137">
      <w:pPr>
        <w:pStyle w:val="ListParagraph"/>
        <w:numPr>
          <w:ilvl w:val="0"/>
          <w:numId w:val="19"/>
        </w:numPr>
        <w:bidi w:val="0"/>
        <w:spacing w:after="0" w:line="240" w:lineRule="auto"/>
        <w:ind w:left="0" w:firstLine="0"/>
        <w:contextualSpacing w:val="0"/>
        <w:jc w:val="lowKashida"/>
        <w:rPr>
          <w:rFonts w:asciiTheme="majorBidi" w:hAnsiTheme="majorBidi" w:cstheme="majorBidi"/>
          <w:sz w:val="20"/>
          <w:szCs w:val="20"/>
        </w:rPr>
      </w:pPr>
      <w:r w:rsidRPr="00505EA3">
        <w:rPr>
          <w:rFonts w:asciiTheme="majorBidi" w:hAnsiTheme="majorBidi" w:cstheme="majorBidi"/>
          <w:sz w:val="20"/>
          <w:szCs w:val="20"/>
        </w:rPr>
        <w:t>Relative quantitation of microRNA-</w:t>
      </w:r>
      <w:r w:rsidR="00A6537B">
        <w:rPr>
          <w:rFonts w:asciiTheme="majorBidi" w:hAnsiTheme="majorBidi" w:cstheme="majorBidi"/>
          <w:sz w:val="20"/>
          <w:szCs w:val="20"/>
        </w:rPr>
        <w:t>7</w:t>
      </w:r>
      <w:r w:rsidRPr="00505EA3">
        <w:rPr>
          <w:rFonts w:asciiTheme="majorBidi" w:hAnsiTheme="majorBidi" w:cstheme="majorBidi"/>
          <w:sz w:val="20"/>
          <w:szCs w:val="20"/>
        </w:rPr>
        <w:t xml:space="preserve"> by two-step quantitative Real time PCR</w:t>
      </w:r>
      <w:r w:rsidR="00E35137">
        <w:rPr>
          <w:rFonts w:asciiTheme="majorBidi" w:hAnsiTheme="majorBidi" w:cstheme="majorBidi"/>
          <w:sz w:val="20"/>
          <w:szCs w:val="20"/>
        </w:rPr>
        <w:t>:</w:t>
      </w:r>
      <w:r w:rsidR="00E35137" w:rsidRPr="00E35137">
        <w:rPr>
          <w:rFonts w:asciiTheme="majorBidi" w:hAnsiTheme="majorBidi" w:cs="Times New Roman"/>
          <w:sz w:val="20"/>
          <w:szCs w:val="20"/>
        </w:rPr>
        <w:t xml:space="preserve"> </w:t>
      </w:r>
      <w:r w:rsidR="00E35137" w:rsidRPr="00E35137">
        <w:rPr>
          <w:rFonts w:asciiTheme="majorBidi" w:hAnsiTheme="majorBidi" w:cstheme="majorBidi"/>
          <w:sz w:val="20"/>
          <w:szCs w:val="20"/>
        </w:rPr>
        <w:t>Relative Quantitation using comparative Cycle Threshold (CT) describes the change in expression of the nucleic acid sequence (target gene) in a test sample relative to the same sequence in a calibrator sample</w:t>
      </w:r>
      <w:proofErr w:type="gramStart"/>
      <w:r w:rsidR="00E35137" w:rsidRPr="00E35137">
        <w:rPr>
          <w:rFonts w:asciiTheme="majorBidi" w:hAnsiTheme="majorBidi" w:cstheme="majorBidi"/>
          <w:sz w:val="20"/>
          <w:szCs w:val="20"/>
        </w:rPr>
        <w:t>.</w:t>
      </w:r>
      <w:r w:rsidRPr="00E35137">
        <w:rPr>
          <w:rFonts w:asciiTheme="majorBidi" w:hAnsiTheme="majorBidi" w:cs="Times New Roman"/>
          <w:sz w:val="20"/>
          <w:szCs w:val="20"/>
          <w:rtl/>
        </w:rPr>
        <w:t>.</w:t>
      </w:r>
      <w:proofErr w:type="gramEnd"/>
    </w:p>
    <w:p w14:paraId="5A745DA6" w14:textId="148990D9" w:rsidR="00505EA3" w:rsidRPr="00E35137" w:rsidRDefault="00E35137" w:rsidP="00E35137">
      <w:pPr>
        <w:pStyle w:val="ListParagraph"/>
        <w:numPr>
          <w:ilvl w:val="0"/>
          <w:numId w:val="19"/>
        </w:numPr>
        <w:bidi w:val="0"/>
        <w:spacing w:after="0" w:line="240" w:lineRule="auto"/>
        <w:jc w:val="lowKashida"/>
        <w:rPr>
          <w:rFonts w:asciiTheme="majorBidi" w:hAnsiTheme="majorBidi" w:cstheme="majorBidi"/>
          <w:sz w:val="20"/>
          <w:szCs w:val="20"/>
        </w:rPr>
      </w:pPr>
      <w:r>
        <w:rPr>
          <w:rFonts w:asciiTheme="majorBidi" w:hAnsiTheme="majorBidi" w:cstheme="majorBidi"/>
          <w:sz w:val="20"/>
          <w:szCs w:val="20"/>
        </w:rPr>
        <w:t xml:space="preserve">  Data analysis:</w:t>
      </w:r>
      <w:r w:rsidRPr="00E35137">
        <w:rPr>
          <w:rFonts w:asciiTheme="majorBidi" w:hAnsiTheme="majorBidi" w:cstheme="majorBidi"/>
          <w:sz w:val="20"/>
          <w:szCs w:val="20"/>
        </w:rPr>
        <w:t xml:space="preserve"> Fold expression changes are calculated using the equation 2 </w:t>
      </w:r>
      <w:r w:rsidRPr="00E35137">
        <w:rPr>
          <w:rFonts w:asciiTheme="majorBidi" w:hAnsiTheme="majorBidi" w:cstheme="majorBidi"/>
          <w:sz w:val="20"/>
          <w:szCs w:val="20"/>
          <w:vertAlign w:val="superscript"/>
        </w:rPr>
        <w:t xml:space="preserve">–ΔΔ </w:t>
      </w:r>
      <w:r w:rsidRPr="00E35137">
        <w:rPr>
          <w:rFonts w:asciiTheme="majorBidi" w:hAnsiTheme="majorBidi" w:cstheme="majorBidi"/>
          <w:sz w:val="20"/>
          <w:szCs w:val="20"/>
        </w:rPr>
        <w:t>CT and expressed as relative units (RU).</w:t>
      </w:r>
    </w:p>
    <w:p w14:paraId="2DA29658" w14:textId="632DEECA" w:rsidR="00EB795A" w:rsidRPr="00505EA3" w:rsidRDefault="00EB795A" w:rsidP="00190A6C">
      <w:pPr>
        <w:bidi w:val="0"/>
        <w:spacing w:after="0" w:line="240" w:lineRule="auto"/>
        <w:jc w:val="lowKashida"/>
        <w:rPr>
          <w:rFonts w:asciiTheme="majorBidi" w:hAnsiTheme="majorBidi" w:cstheme="majorBidi"/>
          <w:b/>
          <w:bCs/>
          <w:sz w:val="20"/>
          <w:szCs w:val="20"/>
        </w:rPr>
      </w:pPr>
      <w:proofErr w:type="gramStart"/>
      <w:r w:rsidRPr="00505EA3">
        <w:rPr>
          <w:rFonts w:asciiTheme="majorBidi" w:hAnsiTheme="majorBidi" w:cstheme="majorBidi"/>
          <w:b/>
          <w:bCs/>
          <w:sz w:val="20"/>
          <w:szCs w:val="20"/>
        </w:rPr>
        <w:t>3.Analytical</w:t>
      </w:r>
      <w:proofErr w:type="gramEnd"/>
      <w:r w:rsidRPr="00505EA3">
        <w:rPr>
          <w:rFonts w:asciiTheme="majorBidi" w:hAnsiTheme="majorBidi" w:cstheme="majorBidi"/>
          <w:b/>
          <w:bCs/>
          <w:sz w:val="20"/>
          <w:szCs w:val="20"/>
        </w:rPr>
        <w:t xml:space="preserve"> synthesis</w:t>
      </w:r>
    </w:p>
    <w:p w14:paraId="51C3E770" w14:textId="46C75D68" w:rsidR="0003109F" w:rsidRDefault="00EB795A" w:rsidP="00190A6C">
      <w:pPr>
        <w:bidi w:val="0"/>
        <w:spacing w:after="0" w:line="240" w:lineRule="auto"/>
        <w:ind w:firstLine="360"/>
        <w:jc w:val="lowKashida"/>
        <w:rPr>
          <w:rFonts w:asciiTheme="majorBidi" w:hAnsiTheme="majorBidi" w:cstheme="majorBidi"/>
          <w:sz w:val="20"/>
          <w:szCs w:val="20"/>
        </w:rPr>
      </w:pPr>
      <w:r w:rsidRPr="001A5200">
        <w:rPr>
          <w:rFonts w:asciiTheme="majorBidi" w:hAnsiTheme="majorBidi" w:cstheme="majorBidi"/>
          <w:sz w:val="20"/>
          <w:szCs w:val="20"/>
        </w:rPr>
        <w:t xml:space="preserve">Version 20.0 of IBM's statistical </w:t>
      </w:r>
      <w:proofErr w:type="spellStart"/>
      <w:r w:rsidRPr="001A5200">
        <w:rPr>
          <w:rFonts w:asciiTheme="majorBidi" w:hAnsiTheme="majorBidi" w:cstheme="majorBidi"/>
          <w:sz w:val="20"/>
          <w:szCs w:val="20"/>
        </w:rPr>
        <w:t>programme</w:t>
      </w:r>
      <w:proofErr w:type="spellEnd"/>
      <w:r w:rsidRPr="001A5200">
        <w:rPr>
          <w:rFonts w:asciiTheme="majorBidi" w:hAnsiTheme="majorBidi" w:cstheme="majorBidi"/>
          <w:sz w:val="20"/>
          <w:szCs w:val="20"/>
        </w:rPr>
        <w:t xml:space="preserve"> for social science (SPSS) was used for data analysis (IBM Corp., 2017). With Version 25.0, IBM Corp. of Armonk, </w:t>
      </w:r>
      <w:r w:rsidRPr="001A5200">
        <w:rPr>
          <w:rFonts w:asciiTheme="majorBidi" w:hAnsiTheme="majorBidi" w:cstheme="majorBidi"/>
          <w:sz w:val="20"/>
          <w:szCs w:val="20"/>
        </w:rPr>
        <w:lastRenderedPageBreak/>
        <w:t xml:space="preserve">New York, released IBM SPSS Statistics for Windows. Quantitative and qualitative data were </w:t>
      </w:r>
      <w:proofErr w:type="spellStart"/>
      <w:r w:rsidRPr="001A5200">
        <w:rPr>
          <w:rFonts w:asciiTheme="majorBidi" w:hAnsiTheme="majorBidi" w:cstheme="majorBidi"/>
          <w:sz w:val="20"/>
          <w:szCs w:val="20"/>
        </w:rPr>
        <w:t>characterised</w:t>
      </w:r>
      <w:proofErr w:type="spellEnd"/>
      <w:r w:rsidRPr="001A5200">
        <w:rPr>
          <w:rFonts w:asciiTheme="majorBidi" w:hAnsiTheme="majorBidi" w:cstheme="majorBidi"/>
          <w:sz w:val="20"/>
          <w:szCs w:val="20"/>
        </w:rPr>
        <w:t xml:space="preserve"> by percentages and counts. To ensure the distribution was normal, the Shapiro-Wilk test was used. Range (including minimum and maximum), mean, standard deviation, median, and interquartile range were used to represent quantitative data (IQR). A significance threshold of 5% was used to evaluate the findings.</w:t>
      </w:r>
    </w:p>
    <w:p w14:paraId="0DEA7BBD" w14:textId="5CF80635" w:rsidR="001A5200" w:rsidRPr="001A5200" w:rsidRDefault="001A5200" w:rsidP="00190A6C">
      <w:pPr>
        <w:bidi w:val="0"/>
        <w:spacing w:after="0" w:line="240" w:lineRule="auto"/>
        <w:jc w:val="lowKashida"/>
        <w:rPr>
          <w:rFonts w:asciiTheme="majorBidi" w:eastAsia="AdvTimes" w:hAnsiTheme="majorBidi" w:cstheme="majorBidi"/>
          <w:b/>
          <w:bCs/>
          <w:sz w:val="20"/>
          <w:szCs w:val="20"/>
        </w:rPr>
      </w:pPr>
      <w:r w:rsidRPr="001A5200">
        <w:rPr>
          <w:rFonts w:asciiTheme="majorBidi" w:eastAsia="AdvTimes" w:hAnsiTheme="majorBidi" w:cstheme="majorBidi"/>
          <w:b/>
          <w:bCs/>
          <w:sz w:val="20"/>
          <w:szCs w:val="20"/>
        </w:rPr>
        <w:t>4.Results</w:t>
      </w:r>
    </w:p>
    <w:p w14:paraId="7799A912" w14:textId="2FBA49E9" w:rsidR="001A5200" w:rsidRPr="001A5200" w:rsidRDefault="001A5200" w:rsidP="00190A6C">
      <w:pPr>
        <w:bidi w:val="0"/>
        <w:spacing w:after="0" w:line="240" w:lineRule="auto"/>
        <w:ind w:firstLine="360"/>
        <w:jc w:val="lowKashida"/>
        <w:rPr>
          <w:rFonts w:asciiTheme="majorBidi" w:hAnsiTheme="majorBidi" w:cstheme="majorBidi"/>
          <w:sz w:val="20"/>
          <w:szCs w:val="20"/>
          <w:rtl/>
          <w:lang w:bidi="ar-EG"/>
        </w:rPr>
      </w:pPr>
      <w:r w:rsidRPr="001A5200">
        <w:rPr>
          <w:rFonts w:asciiTheme="majorBidi" w:hAnsiTheme="majorBidi" w:cstheme="majorBidi"/>
          <w:sz w:val="20"/>
          <w:szCs w:val="20"/>
        </w:rPr>
        <w:t xml:space="preserve">The age range of patients with </w:t>
      </w:r>
      <w:r w:rsidR="00673D63">
        <w:rPr>
          <w:rFonts w:asciiTheme="majorBidi" w:hAnsiTheme="majorBidi" w:cstheme="majorBidi"/>
          <w:sz w:val="20"/>
          <w:szCs w:val="20"/>
        </w:rPr>
        <w:t xml:space="preserve">CRC </w:t>
      </w:r>
      <w:r w:rsidRPr="001A5200">
        <w:rPr>
          <w:rFonts w:asciiTheme="majorBidi" w:hAnsiTheme="majorBidi" w:cstheme="majorBidi"/>
          <w:sz w:val="20"/>
          <w:szCs w:val="20"/>
        </w:rPr>
        <w:t xml:space="preserve">was 44–66 years, with a mean of </w:t>
      </w:r>
      <w:r w:rsidR="00416B80" w:rsidRPr="00416B80">
        <w:rPr>
          <w:rFonts w:asciiTheme="majorBidi" w:hAnsiTheme="majorBidi" w:cstheme="majorBidi"/>
          <w:bCs/>
          <w:sz w:val="20"/>
          <w:szCs w:val="20"/>
        </w:rPr>
        <w:t>57 ±13</w:t>
      </w:r>
      <w:r w:rsidR="00416B80">
        <w:rPr>
          <w:rFonts w:asciiTheme="majorBidi" w:hAnsiTheme="majorBidi" w:cstheme="majorBidi"/>
          <w:bCs/>
          <w:sz w:val="20"/>
          <w:szCs w:val="20"/>
        </w:rPr>
        <w:t xml:space="preserve"> </w:t>
      </w:r>
      <w:r w:rsidRPr="001A5200">
        <w:rPr>
          <w:rFonts w:asciiTheme="majorBidi" w:hAnsiTheme="majorBidi" w:cstheme="majorBidi"/>
          <w:sz w:val="20"/>
          <w:szCs w:val="20"/>
        </w:rPr>
        <w:t xml:space="preserve">years. The control group had an average age of 50.90± 8.64 years, with </w:t>
      </w:r>
      <w:r w:rsidR="00416B80" w:rsidRPr="00416B80">
        <w:rPr>
          <w:rFonts w:asciiTheme="majorBidi" w:hAnsiTheme="majorBidi" w:cstheme="majorBidi"/>
          <w:sz w:val="20"/>
          <w:szCs w:val="20"/>
        </w:rPr>
        <w:t>a mean of</w:t>
      </w:r>
      <w:r w:rsidR="00416B80">
        <w:rPr>
          <w:rFonts w:asciiTheme="majorBidi" w:hAnsiTheme="majorBidi" w:cstheme="majorBidi"/>
          <w:sz w:val="20"/>
          <w:szCs w:val="20"/>
        </w:rPr>
        <w:t xml:space="preserve"> </w:t>
      </w:r>
      <w:r w:rsidR="00416B80" w:rsidRPr="00673D63">
        <w:rPr>
          <w:rFonts w:asciiTheme="majorBidi" w:hAnsiTheme="majorBidi" w:cstheme="majorBidi"/>
          <w:bCs/>
          <w:sz w:val="20"/>
          <w:szCs w:val="20"/>
        </w:rPr>
        <w:t>54 ±8</w:t>
      </w:r>
      <w:r w:rsidR="00416B80">
        <w:rPr>
          <w:rFonts w:asciiTheme="majorBidi" w:hAnsiTheme="majorBidi" w:cstheme="majorBidi"/>
          <w:bCs/>
          <w:sz w:val="20"/>
          <w:szCs w:val="20"/>
        </w:rPr>
        <w:t xml:space="preserve"> years</w:t>
      </w:r>
      <w:r w:rsidR="00416B80">
        <w:rPr>
          <w:rFonts w:asciiTheme="majorBidi" w:hAnsiTheme="majorBidi" w:cstheme="majorBidi"/>
          <w:sz w:val="20"/>
          <w:szCs w:val="20"/>
        </w:rPr>
        <w:t>. In the patient group, t</w:t>
      </w:r>
      <w:r w:rsidRPr="001A5200">
        <w:rPr>
          <w:rFonts w:asciiTheme="majorBidi" w:hAnsiTheme="majorBidi" w:cstheme="majorBidi"/>
          <w:sz w:val="20"/>
          <w:szCs w:val="20"/>
        </w:rPr>
        <w:t xml:space="preserve">here were </w:t>
      </w:r>
      <w:r w:rsidR="00416B80">
        <w:rPr>
          <w:rFonts w:asciiTheme="majorBidi" w:hAnsiTheme="majorBidi" w:cstheme="majorBidi"/>
          <w:sz w:val="20"/>
          <w:szCs w:val="20"/>
        </w:rPr>
        <w:t>30 men and 15</w:t>
      </w:r>
      <w:r w:rsidRPr="001A5200">
        <w:rPr>
          <w:rFonts w:asciiTheme="majorBidi" w:hAnsiTheme="majorBidi" w:cstheme="majorBidi"/>
          <w:sz w:val="20"/>
          <w:szCs w:val="20"/>
        </w:rPr>
        <w:t xml:space="preserve"> females, making up </w:t>
      </w:r>
      <w:r w:rsidR="00416B80">
        <w:rPr>
          <w:rFonts w:asciiTheme="majorBidi" w:hAnsiTheme="majorBidi" w:cstheme="majorBidi"/>
          <w:sz w:val="20"/>
          <w:szCs w:val="20"/>
        </w:rPr>
        <w:t>66.6</w:t>
      </w:r>
      <w:r w:rsidRPr="001A5200">
        <w:rPr>
          <w:rFonts w:asciiTheme="majorBidi" w:hAnsiTheme="majorBidi" w:cstheme="majorBidi"/>
          <w:sz w:val="20"/>
          <w:szCs w:val="20"/>
        </w:rPr>
        <w:t xml:space="preserve"> percent and </w:t>
      </w:r>
      <w:r w:rsidR="00416B80">
        <w:rPr>
          <w:rFonts w:asciiTheme="majorBidi" w:hAnsiTheme="majorBidi" w:cstheme="majorBidi"/>
          <w:sz w:val="20"/>
          <w:szCs w:val="20"/>
        </w:rPr>
        <w:t>33.3</w:t>
      </w:r>
      <w:r w:rsidRPr="001A5200">
        <w:rPr>
          <w:rFonts w:asciiTheme="majorBidi" w:hAnsiTheme="majorBidi" w:cstheme="majorBidi"/>
          <w:sz w:val="20"/>
          <w:szCs w:val="20"/>
        </w:rPr>
        <w:t xml:space="preserve"> percent, respectively. In the </w:t>
      </w:r>
      <w:r w:rsidR="00416B80">
        <w:rPr>
          <w:rFonts w:asciiTheme="majorBidi" w:hAnsiTheme="majorBidi" w:cstheme="majorBidi"/>
          <w:sz w:val="20"/>
          <w:szCs w:val="20"/>
        </w:rPr>
        <w:t>control</w:t>
      </w:r>
      <w:r w:rsidRPr="001A5200">
        <w:rPr>
          <w:rFonts w:asciiTheme="majorBidi" w:hAnsiTheme="majorBidi" w:cstheme="majorBidi"/>
          <w:sz w:val="20"/>
          <w:szCs w:val="20"/>
        </w:rPr>
        <w:t xml:space="preserve"> group, men made up </w:t>
      </w:r>
      <w:r w:rsidR="00416B80">
        <w:rPr>
          <w:rFonts w:asciiTheme="majorBidi" w:hAnsiTheme="majorBidi" w:cstheme="majorBidi"/>
          <w:sz w:val="20"/>
          <w:szCs w:val="20"/>
        </w:rPr>
        <w:t>57.7% (n=26</w:t>
      </w:r>
      <w:r w:rsidRPr="001A5200">
        <w:rPr>
          <w:rFonts w:asciiTheme="majorBidi" w:hAnsiTheme="majorBidi" w:cstheme="majorBidi"/>
          <w:sz w:val="20"/>
          <w:szCs w:val="20"/>
        </w:rPr>
        <w:t xml:space="preserve">) and females </w:t>
      </w:r>
      <w:r w:rsidR="00416B80">
        <w:rPr>
          <w:rFonts w:asciiTheme="majorBidi" w:hAnsiTheme="majorBidi" w:cstheme="majorBidi"/>
          <w:sz w:val="20"/>
          <w:szCs w:val="20"/>
        </w:rPr>
        <w:t>42.2</w:t>
      </w:r>
      <w:r w:rsidRPr="001A5200">
        <w:rPr>
          <w:rFonts w:asciiTheme="majorBidi" w:hAnsiTheme="majorBidi" w:cstheme="majorBidi"/>
          <w:sz w:val="20"/>
          <w:szCs w:val="20"/>
        </w:rPr>
        <w:t>% (n=</w:t>
      </w:r>
      <w:r w:rsidR="00416B80">
        <w:rPr>
          <w:rFonts w:asciiTheme="majorBidi" w:hAnsiTheme="majorBidi" w:cstheme="majorBidi"/>
          <w:sz w:val="20"/>
          <w:szCs w:val="20"/>
        </w:rPr>
        <w:t>19</w:t>
      </w:r>
      <w:r w:rsidRPr="001A5200">
        <w:rPr>
          <w:rFonts w:asciiTheme="majorBidi" w:hAnsiTheme="majorBidi" w:cstheme="majorBidi"/>
          <w:sz w:val="20"/>
          <w:szCs w:val="20"/>
        </w:rPr>
        <w:t>), The age distribution and sex distribution of the groups under study did not vary statistically significantly (p value &gt; 0.05). Table (1).</w:t>
      </w:r>
    </w:p>
    <w:p w14:paraId="45687B71" w14:textId="77777777" w:rsidR="00EA5D44" w:rsidRPr="001A5200" w:rsidRDefault="00EA5D44" w:rsidP="00190A6C">
      <w:pPr>
        <w:bidi w:val="0"/>
        <w:spacing w:after="0" w:line="240" w:lineRule="auto"/>
        <w:jc w:val="lowKashida"/>
        <w:rPr>
          <w:rFonts w:asciiTheme="majorBidi" w:eastAsia="AdvTimes" w:hAnsiTheme="majorBidi" w:cstheme="majorBidi"/>
          <w:b/>
          <w:bCs/>
          <w:sz w:val="20"/>
          <w:szCs w:val="20"/>
        </w:rPr>
        <w:sectPr w:rsidR="00EA5D44" w:rsidRPr="001A5200" w:rsidSect="00E8712B">
          <w:type w:val="continuous"/>
          <w:pgSz w:w="11909" w:h="16834" w:code="9"/>
          <w:pgMar w:top="1440" w:right="929" w:bottom="1440" w:left="1080" w:header="720" w:footer="720" w:gutter="0"/>
          <w:cols w:num="2" w:space="720"/>
          <w:docGrid w:linePitch="360"/>
        </w:sectPr>
      </w:pPr>
    </w:p>
    <w:p w14:paraId="3CE7B72E" w14:textId="77777777" w:rsidR="00EB11B1" w:rsidRPr="001A5200" w:rsidRDefault="00EB11B1" w:rsidP="00190A6C">
      <w:pPr>
        <w:shd w:val="clear" w:color="auto" w:fill="FFFFFF"/>
        <w:bidi w:val="0"/>
        <w:spacing w:after="0" w:line="240" w:lineRule="auto"/>
        <w:jc w:val="lowKashida"/>
        <w:textAlignment w:val="top"/>
        <w:rPr>
          <w:rFonts w:asciiTheme="majorBidi" w:hAnsiTheme="majorBidi" w:cstheme="majorBidi"/>
          <w:b/>
          <w:bCs/>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70E36530" w14:textId="0C619B93" w:rsidR="008840D9" w:rsidRPr="00D65590" w:rsidRDefault="00EB795A" w:rsidP="00505EA3">
      <w:pPr>
        <w:shd w:val="clear" w:color="auto" w:fill="FFFFFF"/>
        <w:bidi w:val="0"/>
        <w:spacing w:after="120" w:line="240" w:lineRule="auto"/>
        <w:jc w:val="both"/>
        <w:textAlignment w:val="top"/>
        <w:rPr>
          <w:rFonts w:asciiTheme="majorBidi" w:hAnsiTheme="majorBidi" w:cstheme="majorBidi"/>
          <w:sz w:val="20"/>
          <w:szCs w:val="20"/>
        </w:rPr>
      </w:pPr>
      <w:r w:rsidRPr="001A5200">
        <w:rPr>
          <w:rFonts w:asciiTheme="majorBidi" w:hAnsiTheme="majorBidi" w:cstheme="majorBidi"/>
          <w:b/>
          <w:bCs/>
          <w:sz w:val="20"/>
          <w:szCs w:val="20"/>
        </w:rPr>
        <w:lastRenderedPageBreak/>
        <w:t xml:space="preserve">Table (1) </w:t>
      </w:r>
      <w:r w:rsidRPr="00D65590">
        <w:rPr>
          <w:rFonts w:asciiTheme="majorBidi" w:hAnsiTheme="majorBidi" w:cstheme="majorBidi"/>
          <w:sz w:val="20"/>
          <w:szCs w:val="20"/>
        </w:rPr>
        <w:t>Groups' demographic information</w:t>
      </w:r>
      <w:r w:rsidR="00D65590">
        <w:rPr>
          <w:rFonts w:asciiTheme="majorBidi" w:hAnsiTheme="majorBidi" w:cstheme="majorBidi"/>
          <w:sz w:val="20"/>
          <w:szCs w:val="20"/>
        </w:rPr>
        <w:t>.</w:t>
      </w:r>
    </w:p>
    <w:tbl>
      <w:tblPr>
        <w:tblW w:w="4238" w:type="pct"/>
        <w:jc w:val="center"/>
        <w:tblBorders>
          <w:top w:val="single" w:sz="4" w:space="0" w:color="auto"/>
          <w:bottom w:val="single" w:sz="4" w:space="0" w:color="auto"/>
        </w:tblBorders>
        <w:tblLayout w:type="fixed"/>
        <w:tblLook w:val="04A0" w:firstRow="1" w:lastRow="0" w:firstColumn="1" w:lastColumn="0" w:noHBand="0" w:noVBand="1"/>
      </w:tblPr>
      <w:tblGrid>
        <w:gridCol w:w="1067"/>
        <w:gridCol w:w="1706"/>
        <w:gridCol w:w="1073"/>
        <w:gridCol w:w="957"/>
        <w:gridCol w:w="682"/>
        <w:gridCol w:w="1096"/>
        <w:gridCol w:w="1096"/>
        <w:gridCol w:w="897"/>
      </w:tblGrid>
      <w:tr w:rsidR="00673D63" w:rsidRPr="001A5200" w14:paraId="6B7B5E9A" w14:textId="77777777" w:rsidTr="00190A6C">
        <w:trPr>
          <w:trHeight w:val="170"/>
          <w:jc w:val="center"/>
        </w:trPr>
        <w:tc>
          <w:tcPr>
            <w:tcW w:w="1617" w:type="pct"/>
            <w:gridSpan w:val="2"/>
            <w:vMerge w:val="restart"/>
            <w:tcBorders>
              <w:top w:val="single" w:sz="4" w:space="0" w:color="auto"/>
              <w:bottom w:val="single" w:sz="4" w:space="0" w:color="auto"/>
            </w:tcBorders>
            <w:shd w:val="clear" w:color="auto" w:fill="auto"/>
            <w:vAlign w:val="center"/>
          </w:tcPr>
          <w:p w14:paraId="4605F435"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Variable</w:t>
            </w:r>
          </w:p>
          <w:p w14:paraId="6D767396"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p w14:paraId="743D35A1"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1184" w:type="pct"/>
            <w:gridSpan w:val="2"/>
            <w:tcBorders>
              <w:top w:val="single" w:sz="4" w:space="0" w:color="auto"/>
              <w:bottom w:val="nil"/>
            </w:tcBorders>
            <w:shd w:val="clear" w:color="auto" w:fill="auto"/>
            <w:vAlign w:val="center"/>
            <w:hideMark/>
          </w:tcPr>
          <w:p w14:paraId="7B638518" w14:textId="77777777" w:rsidR="00673D63" w:rsidRPr="00673D63" w:rsidRDefault="00673D63" w:rsidP="00673D63">
            <w:pPr>
              <w:shd w:val="clear" w:color="auto" w:fill="FFFFFF"/>
              <w:bidi w:val="0"/>
              <w:spacing w:after="0" w:line="240" w:lineRule="auto"/>
              <w:jc w:val="center"/>
              <w:textAlignment w:val="top"/>
              <w:rPr>
                <w:rFonts w:asciiTheme="majorBidi" w:hAnsiTheme="majorBidi" w:cstheme="majorBidi"/>
                <w:b/>
                <w:bCs/>
                <w:sz w:val="20"/>
                <w:szCs w:val="20"/>
              </w:rPr>
            </w:pPr>
            <w:r w:rsidRPr="00673D63">
              <w:rPr>
                <w:rFonts w:asciiTheme="majorBidi" w:hAnsiTheme="majorBidi" w:cstheme="majorBidi"/>
                <w:b/>
                <w:bCs/>
                <w:sz w:val="20"/>
                <w:szCs w:val="20"/>
              </w:rPr>
              <w:t>Patients</w:t>
            </w:r>
          </w:p>
          <w:p w14:paraId="6B3F504E" w14:textId="023D0E8A"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group</w:t>
            </w:r>
          </w:p>
          <w:p w14:paraId="3DF9D729" w14:textId="18F78DCE" w:rsidR="00673D63" w:rsidRPr="001A5200" w:rsidRDefault="00673D63" w:rsidP="00673D63">
            <w:pPr>
              <w:shd w:val="clear" w:color="auto" w:fill="FFFFFF"/>
              <w:bidi w:val="0"/>
              <w:spacing w:after="0" w:line="240" w:lineRule="auto"/>
              <w:jc w:val="center"/>
              <w:textAlignment w:val="top"/>
              <w:rPr>
                <w:rFonts w:asciiTheme="majorBidi" w:hAnsiTheme="majorBidi" w:cstheme="majorBidi"/>
                <w:b/>
                <w:bCs/>
                <w:sz w:val="20"/>
                <w:szCs w:val="20"/>
                <w:rtl/>
                <w:lang w:bidi="ar-EG"/>
              </w:rPr>
            </w:pPr>
            <w:r w:rsidRPr="001A5200">
              <w:rPr>
                <w:rFonts w:asciiTheme="majorBidi" w:hAnsiTheme="majorBidi" w:cstheme="majorBidi"/>
                <w:b/>
                <w:bCs/>
                <w:sz w:val="20"/>
                <w:szCs w:val="20"/>
              </w:rPr>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1037" w:type="pct"/>
            <w:gridSpan w:val="2"/>
            <w:tcBorders>
              <w:top w:val="single" w:sz="4" w:space="0" w:color="auto"/>
              <w:bottom w:val="nil"/>
            </w:tcBorders>
            <w:shd w:val="clear" w:color="auto" w:fill="auto"/>
            <w:vAlign w:val="center"/>
            <w:hideMark/>
          </w:tcPr>
          <w:p w14:paraId="38DDA92D"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Control group</w:t>
            </w:r>
          </w:p>
          <w:p w14:paraId="3B37FBA1" w14:textId="0707F43D" w:rsidR="00673D63" w:rsidRPr="001A5200" w:rsidRDefault="00673D63" w:rsidP="00673D6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639" w:type="pct"/>
            <w:vMerge w:val="restart"/>
            <w:tcBorders>
              <w:top w:val="single" w:sz="4" w:space="0" w:color="auto"/>
              <w:bottom w:val="nil"/>
            </w:tcBorders>
            <w:shd w:val="clear" w:color="auto" w:fill="auto"/>
            <w:vAlign w:val="center"/>
            <w:hideMark/>
          </w:tcPr>
          <w:p w14:paraId="6DBD24AE"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523" w:type="pct"/>
            <w:vMerge w:val="restart"/>
            <w:tcBorders>
              <w:top w:val="single" w:sz="4" w:space="0" w:color="auto"/>
              <w:bottom w:val="nil"/>
            </w:tcBorders>
            <w:shd w:val="clear" w:color="auto" w:fill="auto"/>
            <w:vAlign w:val="center"/>
          </w:tcPr>
          <w:p w14:paraId="0C351536"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673D63" w:rsidRPr="001A5200" w14:paraId="56E3EC1E" w14:textId="77777777" w:rsidTr="00190A6C">
        <w:trPr>
          <w:trHeight w:val="314"/>
          <w:jc w:val="center"/>
        </w:trPr>
        <w:tc>
          <w:tcPr>
            <w:tcW w:w="1617" w:type="pct"/>
            <w:gridSpan w:val="2"/>
            <w:vMerge/>
            <w:tcBorders>
              <w:top w:val="nil"/>
              <w:bottom w:val="single" w:sz="4" w:space="0" w:color="auto"/>
            </w:tcBorders>
            <w:shd w:val="clear" w:color="auto" w:fill="auto"/>
            <w:vAlign w:val="center"/>
          </w:tcPr>
          <w:p w14:paraId="76E93DAB"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626" w:type="pct"/>
            <w:tcBorders>
              <w:top w:val="nil"/>
              <w:bottom w:val="single" w:sz="4" w:space="0" w:color="auto"/>
            </w:tcBorders>
            <w:shd w:val="clear" w:color="auto" w:fill="auto"/>
            <w:vAlign w:val="center"/>
          </w:tcPr>
          <w:p w14:paraId="6CEFAF8C"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558" w:type="pct"/>
            <w:tcBorders>
              <w:top w:val="nil"/>
              <w:bottom w:val="single" w:sz="4" w:space="0" w:color="auto"/>
            </w:tcBorders>
            <w:shd w:val="clear" w:color="auto" w:fill="auto"/>
            <w:vAlign w:val="center"/>
          </w:tcPr>
          <w:p w14:paraId="422E7363"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w:t>
            </w:r>
          </w:p>
        </w:tc>
        <w:tc>
          <w:tcPr>
            <w:tcW w:w="398" w:type="pct"/>
            <w:tcBorders>
              <w:top w:val="nil"/>
              <w:bottom w:val="single" w:sz="4" w:space="0" w:color="auto"/>
            </w:tcBorders>
            <w:shd w:val="clear" w:color="auto" w:fill="auto"/>
            <w:vAlign w:val="center"/>
          </w:tcPr>
          <w:p w14:paraId="2F69639F"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639" w:type="pct"/>
            <w:tcBorders>
              <w:top w:val="nil"/>
              <w:bottom w:val="single" w:sz="4" w:space="0" w:color="auto"/>
            </w:tcBorders>
            <w:shd w:val="clear" w:color="auto" w:fill="auto"/>
            <w:vAlign w:val="center"/>
          </w:tcPr>
          <w:p w14:paraId="791F8A99"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
                <w:bCs/>
                <w:sz w:val="20"/>
                <w:szCs w:val="20"/>
              </w:rPr>
            </w:pPr>
            <w:r w:rsidRPr="001A5200">
              <w:rPr>
                <w:rFonts w:asciiTheme="majorBidi" w:hAnsiTheme="majorBidi" w:cstheme="majorBidi"/>
                <w:b/>
                <w:bCs/>
                <w:sz w:val="20"/>
                <w:szCs w:val="20"/>
              </w:rPr>
              <w:t>%</w:t>
            </w:r>
          </w:p>
        </w:tc>
        <w:tc>
          <w:tcPr>
            <w:tcW w:w="639" w:type="pct"/>
            <w:vMerge/>
            <w:tcBorders>
              <w:top w:val="nil"/>
              <w:bottom w:val="single" w:sz="4" w:space="0" w:color="auto"/>
            </w:tcBorders>
            <w:shd w:val="clear" w:color="auto" w:fill="auto"/>
            <w:vAlign w:val="center"/>
          </w:tcPr>
          <w:p w14:paraId="4A15067E"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523" w:type="pct"/>
            <w:vMerge/>
            <w:tcBorders>
              <w:top w:val="nil"/>
              <w:bottom w:val="single" w:sz="4" w:space="0" w:color="auto"/>
            </w:tcBorders>
            <w:shd w:val="clear" w:color="auto" w:fill="auto"/>
          </w:tcPr>
          <w:p w14:paraId="23A6F3CE"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r>
      <w:tr w:rsidR="00673D63" w:rsidRPr="001A5200" w14:paraId="4461DE37" w14:textId="77777777" w:rsidTr="00190A6C">
        <w:trPr>
          <w:jc w:val="center"/>
        </w:trPr>
        <w:tc>
          <w:tcPr>
            <w:tcW w:w="622" w:type="pct"/>
            <w:vMerge w:val="restart"/>
            <w:tcBorders>
              <w:top w:val="single" w:sz="4" w:space="0" w:color="auto"/>
            </w:tcBorders>
            <w:shd w:val="clear" w:color="auto" w:fill="auto"/>
            <w:vAlign w:val="center"/>
            <w:hideMark/>
          </w:tcPr>
          <w:p w14:paraId="00E62347"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Gender</w:t>
            </w:r>
          </w:p>
        </w:tc>
        <w:tc>
          <w:tcPr>
            <w:tcW w:w="995" w:type="pct"/>
            <w:tcBorders>
              <w:top w:val="single" w:sz="4" w:space="0" w:color="auto"/>
            </w:tcBorders>
            <w:shd w:val="clear" w:color="auto" w:fill="auto"/>
            <w:vAlign w:val="center"/>
            <w:hideMark/>
          </w:tcPr>
          <w:p w14:paraId="17E40F3F"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Male</w:t>
            </w:r>
          </w:p>
        </w:tc>
        <w:tc>
          <w:tcPr>
            <w:tcW w:w="626" w:type="pct"/>
            <w:tcBorders>
              <w:top w:val="single" w:sz="4" w:space="0" w:color="auto"/>
            </w:tcBorders>
            <w:shd w:val="clear" w:color="auto" w:fill="auto"/>
          </w:tcPr>
          <w:p w14:paraId="23299D0F" w14:textId="78AA2408"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30</w:t>
            </w:r>
          </w:p>
        </w:tc>
        <w:tc>
          <w:tcPr>
            <w:tcW w:w="558" w:type="pct"/>
            <w:tcBorders>
              <w:top w:val="single" w:sz="4" w:space="0" w:color="auto"/>
            </w:tcBorders>
            <w:shd w:val="clear" w:color="auto" w:fill="auto"/>
          </w:tcPr>
          <w:p w14:paraId="0E7B1E22" w14:textId="1ECD5616"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66.6</w:t>
            </w:r>
            <w:r w:rsidRPr="001A5200">
              <w:rPr>
                <w:rFonts w:asciiTheme="majorBidi" w:hAnsiTheme="majorBidi" w:cstheme="majorBidi"/>
                <w:bCs/>
                <w:sz w:val="20"/>
                <w:szCs w:val="20"/>
              </w:rPr>
              <w:t>%</w:t>
            </w:r>
          </w:p>
        </w:tc>
        <w:tc>
          <w:tcPr>
            <w:tcW w:w="398" w:type="pct"/>
            <w:tcBorders>
              <w:top w:val="single" w:sz="4" w:space="0" w:color="auto"/>
            </w:tcBorders>
            <w:shd w:val="clear" w:color="auto" w:fill="auto"/>
          </w:tcPr>
          <w:p w14:paraId="155153CB" w14:textId="33B809C5"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 xml:space="preserve">26 </w:t>
            </w:r>
          </w:p>
        </w:tc>
        <w:tc>
          <w:tcPr>
            <w:tcW w:w="639" w:type="pct"/>
            <w:tcBorders>
              <w:top w:val="single" w:sz="4" w:space="0" w:color="auto"/>
            </w:tcBorders>
            <w:shd w:val="clear" w:color="auto" w:fill="auto"/>
          </w:tcPr>
          <w:p w14:paraId="6C08622B" w14:textId="422E6291"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57.7</w:t>
            </w:r>
            <w:r w:rsidRPr="001A5200">
              <w:rPr>
                <w:rFonts w:asciiTheme="majorBidi" w:hAnsiTheme="majorBidi" w:cstheme="majorBidi"/>
                <w:bCs/>
                <w:sz w:val="20"/>
                <w:szCs w:val="20"/>
              </w:rPr>
              <w:t>%</w:t>
            </w:r>
          </w:p>
        </w:tc>
        <w:tc>
          <w:tcPr>
            <w:tcW w:w="639" w:type="pct"/>
            <w:vMerge w:val="restart"/>
            <w:tcBorders>
              <w:top w:val="single" w:sz="4" w:space="0" w:color="auto"/>
            </w:tcBorders>
            <w:shd w:val="clear" w:color="auto" w:fill="auto"/>
            <w:vAlign w:val="center"/>
          </w:tcPr>
          <w:p w14:paraId="18AAFA25" w14:textId="6BBDD177" w:rsidR="00673D63" w:rsidRPr="001A5200" w:rsidRDefault="00673D63" w:rsidP="00673D63">
            <w:pPr>
              <w:shd w:val="clear" w:color="auto" w:fill="FFFFFF"/>
              <w:bidi w:val="0"/>
              <w:spacing w:after="0" w:line="240" w:lineRule="auto"/>
              <w:jc w:val="center"/>
              <w:textAlignment w:val="top"/>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xml:space="preserve">= </w:t>
            </w:r>
            <w:r>
              <w:rPr>
                <w:rFonts w:asciiTheme="majorBidi" w:hAnsiTheme="majorBidi" w:cstheme="majorBidi"/>
                <w:sz w:val="20"/>
                <w:szCs w:val="20"/>
              </w:rPr>
              <w:t>0.187</w:t>
            </w:r>
          </w:p>
        </w:tc>
        <w:tc>
          <w:tcPr>
            <w:tcW w:w="523" w:type="pct"/>
            <w:vMerge w:val="restart"/>
            <w:tcBorders>
              <w:top w:val="single" w:sz="4" w:space="0" w:color="auto"/>
            </w:tcBorders>
            <w:shd w:val="clear" w:color="auto" w:fill="auto"/>
            <w:vAlign w:val="center"/>
          </w:tcPr>
          <w:p w14:paraId="724B0DEB" w14:textId="3FB7B9E7" w:rsidR="00673D63" w:rsidRPr="001A5200" w:rsidRDefault="00673D63" w:rsidP="00673D63">
            <w:pPr>
              <w:shd w:val="clear" w:color="auto" w:fill="FFFFFF"/>
              <w:bidi w:val="0"/>
              <w:spacing w:after="0" w:line="240" w:lineRule="auto"/>
              <w:jc w:val="center"/>
              <w:textAlignment w:val="top"/>
              <w:rPr>
                <w:rFonts w:asciiTheme="majorBidi" w:hAnsiTheme="majorBidi" w:cstheme="majorBidi"/>
                <w:sz w:val="20"/>
                <w:szCs w:val="20"/>
              </w:rPr>
            </w:pPr>
            <w:r>
              <w:rPr>
                <w:rFonts w:asciiTheme="majorBidi" w:hAnsiTheme="majorBidi" w:cstheme="majorBidi"/>
                <w:sz w:val="20"/>
                <w:szCs w:val="20"/>
              </w:rPr>
              <w:t>0.662</w:t>
            </w:r>
          </w:p>
        </w:tc>
      </w:tr>
      <w:tr w:rsidR="00673D63" w:rsidRPr="001A5200" w14:paraId="7EBEBC78" w14:textId="77777777" w:rsidTr="00190A6C">
        <w:trPr>
          <w:trHeight w:val="160"/>
          <w:jc w:val="center"/>
        </w:trPr>
        <w:tc>
          <w:tcPr>
            <w:tcW w:w="622" w:type="pct"/>
            <w:vMerge/>
            <w:shd w:val="clear" w:color="auto" w:fill="auto"/>
            <w:vAlign w:val="center"/>
            <w:hideMark/>
          </w:tcPr>
          <w:p w14:paraId="7996C8E8"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995" w:type="pct"/>
            <w:shd w:val="clear" w:color="auto" w:fill="auto"/>
            <w:vAlign w:val="center"/>
            <w:hideMark/>
          </w:tcPr>
          <w:p w14:paraId="28A65FD3" w14:textId="365DB30B"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Female</w:t>
            </w:r>
          </w:p>
        </w:tc>
        <w:tc>
          <w:tcPr>
            <w:tcW w:w="626" w:type="pct"/>
            <w:shd w:val="clear" w:color="auto" w:fill="auto"/>
          </w:tcPr>
          <w:p w14:paraId="11B6D8BA" w14:textId="3EDC4707"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 xml:space="preserve">15 </w:t>
            </w:r>
          </w:p>
        </w:tc>
        <w:tc>
          <w:tcPr>
            <w:tcW w:w="558" w:type="pct"/>
            <w:shd w:val="clear" w:color="auto" w:fill="auto"/>
          </w:tcPr>
          <w:p w14:paraId="2EA51E74" w14:textId="063EBFE4"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33.3</w:t>
            </w:r>
            <w:r w:rsidRPr="001A5200">
              <w:rPr>
                <w:rFonts w:asciiTheme="majorBidi" w:hAnsiTheme="majorBidi" w:cstheme="majorBidi"/>
                <w:bCs/>
                <w:sz w:val="20"/>
                <w:szCs w:val="20"/>
              </w:rPr>
              <w:t>%</w:t>
            </w:r>
          </w:p>
        </w:tc>
        <w:tc>
          <w:tcPr>
            <w:tcW w:w="398" w:type="pct"/>
            <w:shd w:val="clear" w:color="auto" w:fill="auto"/>
          </w:tcPr>
          <w:p w14:paraId="3120F75A" w14:textId="7493DD64"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sidRPr="00673D63">
              <w:rPr>
                <w:rFonts w:asciiTheme="majorBidi" w:hAnsiTheme="majorBidi" w:cstheme="majorBidi"/>
                <w:bCs/>
                <w:sz w:val="20"/>
                <w:szCs w:val="20"/>
              </w:rPr>
              <w:t>1</w:t>
            </w:r>
            <w:r>
              <w:rPr>
                <w:rFonts w:asciiTheme="majorBidi" w:hAnsiTheme="majorBidi" w:cstheme="majorBidi"/>
                <w:bCs/>
                <w:sz w:val="20"/>
                <w:szCs w:val="20"/>
              </w:rPr>
              <w:t>9</w:t>
            </w:r>
          </w:p>
        </w:tc>
        <w:tc>
          <w:tcPr>
            <w:tcW w:w="639" w:type="pct"/>
            <w:shd w:val="clear" w:color="auto" w:fill="auto"/>
          </w:tcPr>
          <w:p w14:paraId="58BE0C10" w14:textId="2BB20F4F"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Pr>
                <w:rFonts w:asciiTheme="majorBidi" w:hAnsiTheme="majorBidi" w:cstheme="majorBidi"/>
                <w:bCs/>
                <w:sz w:val="20"/>
                <w:szCs w:val="20"/>
              </w:rPr>
              <w:t>42.2</w:t>
            </w:r>
            <w:r w:rsidRPr="001A5200">
              <w:rPr>
                <w:rFonts w:asciiTheme="majorBidi" w:hAnsiTheme="majorBidi" w:cstheme="majorBidi"/>
                <w:bCs/>
                <w:sz w:val="20"/>
                <w:szCs w:val="20"/>
              </w:rPr>
              <w:t>%</w:t>
            </w:r>
          </w:p>
        </w:tc>
        <w:tc>
          <w:tcPr>
            <w:tcW w:w="639" w:type="pct"/>
            <w:vMerge/>
            <w:shd w:val="clear" w:color="auto" w:fill="auto"/>
            <w:vAlign w:val="center"/>
          </w:tcPr>
          <w:p w14:paraId="0DE1AFE3"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523" w:type="pct"/>
            <w:vMerge/>
            <w:shd w:val="clear" w:color="auto" w:fill="auto"/>
          </w:tcPr>
          <w:p w14:paraId="2625446C"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r>
      <w:tr w:rsidR="00673D63" w:rsidRPr="001A5200" w14:paraId="0CAA5482" w14:textId="77777777" w:rsidTr="00190A6C">
        <w:trPr>
          <w:jc w:val="center"/>
        </w:trPr>
        <w:tc>
          <w:tcPr>
            <w:tcW w:w="622" w:type="pct"/>
            <w:vMerge w:val="restart"/>
            <w:shd w:val="clear" w:color="auto" w:fill="auto"/>
            <w:vAlign w:val="center"/>
            <w:hideMark/>
          </w:tcPr>
          <w:p w14:paraId="7651549B"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Age (years)</w:t>
            </w:r>
          </w:p>
        </w:tc>
        <w:tc>
          <w:tcPr>
            <w:tcW w:w="995" w:type="pct"/>
            <w:shd w:val="clear" w:color="auto" w:fill="auto"/>
            <w:vAlign w:val="center"/>
            <w:hideMark/>
          </w:tcPr>
          <w:p w14:paraId="2927B8D1"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Mean± SD</w:t>
            </w:r>
          </w:p>
        </w:tc>
        <w:tc>
          <w:tcPr>
            <w:tcW w:w="1184" w:type="pct"/>
            <w:gridSpan w:val="2"/>
            <w:shd w:val="clear" w:color="auto" w:fill="auto"/>
            <w:vAlign w:val="center"/>
          </w:tcPr>
          <w:p w14:paraId="73EA032A" w14:textId="1AD3A334"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sidRPr="00673D63">
              <w:rPr>
                <w:rFonts w:asciiTheme="majorBidi" w:hAnsiTheme="majorBidi" w:cstheme="majorBidi"/>
                <w:bCs/>
                <w:sz w:val="20"/>
                <w:szCs w:val="20"/>
              </w:rPr>
              <w:t>57 ±13</w:t>
            </w:r>
          </w:p>
        </w:tc>
        <w:tc>
          <w:tcPr>
            <w:tcW w:w="1037" w:type="pct"/>
            <w:gridSpan w:val="2"/>
            <w:shd w:val="clear" w:color="auto" w:fill="auto"/>
            <w:vAlign w:val="center"/>
          </w:tcPr>
          <w:p w14:paraId="4E61E6CA" w14:textId="039D41B2" w:rsidR="00673D63" w:rsidRPr="001A5200" w:rsidRDefault="00673D63" w:rsidP="00673D63">
            <w:pPr>
              <w:shd w:val="clear" w:color="auto" w:fill="FFFFFF"/>
              <w:bidi w:val="0"/>
              <w:spacing w:after="0" w:line="240" w:lineRule="auto"/>
              <w:jc w:val="center"/>
              <w:textAlignment w:val="top"/>
              <w:rPr>
                <w:rFonts w:asciiTheme="majorBidi" w:hAnsiTheme="majorBidi" w:cstheme="majorBidi"/>
                <w:bCs/>
                <w:sz w:val="20"/>
                <w:szCs w:val="20"/>
              </w:rPr>
            </w:pPr>
            <w:r w:rsidRPr="00673D63">
              <w:rPr>
                <w:rFonts w:asciiTheme="majorBidi" w:hAnsiTheme="majorBidi" w:cstheme="majorBidi"/>
                <w:bCs/>
                <w:sz w:val="20"/>
                <w:szCs w:val="20"/>
              </w:rPr>
              <w:t>54 ±8</w:t>
            </w:r>
          </w:p>
        </w:tc>
        <w:tc>
          <w:tcPr>
            <w:tcW w:w="639" w:type="pct"/>
            <w:vMerge w:val="restart"/>
            <w:shd w:val="clear" w:color="auto" w:fill="auto"/>
            <w:vAlign w:val="center"/>
          </w:tcPr>
          <w:p w14:paraId="1CDFACA0"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i/>
                <w:iCs/>
                <w:sz w:val="20"/>
                <w:szCs w:val="20"/>
              </w:rPr>
              <w:t>F</w:t>
            </w:r>
            <w:r w:rsidRPr="001A5200">
              <w:rPr>
                <w:rFonts w:asciiTheme="majorBidi" w:hAnsiTheme="majorBidi" w:cstheme="majorBidi"/>
                <w:bCs/>
                <w:sz w:val="20"/>
                <w:szCs w:val="20"/>
              </w:rPr>
              <w:t>= 2.418</w:t>
            </w:r>
          </w:p>
        </w:tc>
        <w:tc>
          <w:tcPr>
            <w:tcW w:w="523" w:type="pct"/>
            <w:vMerge w:val="restart"/>
            <w:shd w:val="clear" w:color="auto" w:fill="auto"/>
            <w:vAlign w:val="center"/>
          </w:tcPr>
          <w:p w14:paraId="4BEE366A" w14:textId="2E5C222B" w:rsidR="00673D63" w:rsidRPr="001A5200" w:rsidRDefault="00673D63" w:rsidP="00673D63">
            <w:pPr>
              <w:shd w:val="clear" w:color="auto" w:fill="FFFFFF"/>
              <w:bidi w:val="0"/>
              <w:spacing w:after="0" w:line="240" w:lineRule="auto"/>
              <w:jc w:val="center"/>
              <w:textAlignment w:val="top"/>
              <w:rPr>
                <w:rFonts w:asciiTheme="majorBidi" w:hAnsiTheme="majorBidi" w:cstheme="majorBidi"/>
                <w:sz w:val="20"/>
                <w:szCs w:val="20"/>
              </w:rPr>
            </w:pPr>
            <w:r w:rsidRPr="00673D63">
              <w:rPr>
                <w:rFonts w:asciiTheme="majorBidi" w:hAnsiTheme="majorBidi" w:cstheme="majorBidi"/>
                <w:sz w:val="20"/>
                <w:szCs w:val="20"/>
              </w:rPr>
              <w:t>0.272</w:t>
            </w:r>
          </w:p>
        </w:tc>
      </w:tr>
      <w:tr w:rsidR="00673D63" w:rsidRPr="001A5200" w14:paraId="2D71ED13" w14:textId="77777777" w:rsidTr="00190A6C">
        <w:trPr>
          <w:jc w:val="center"/>
        </w:trPr>
        <w:tc>
          <w:tcPr>
            <w:tcW w:w="622" w:type="pct"/>
            <w:vMerge/>
            <w:shd w:val="clear" w:color="auto" w:fill="auto"/>
            <w:vAlign w:val="center"/>
          </w:tcPr>
          <w:p w14:paraId="7D78A416"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995" w:type="pct"/>
            <w:shd w:val="clear" w:color="auto" w:fill="auto"/>
            <w:vAlign w:val="center"/>
          </w:tcPr>
          <w:p w14:paraId="183BEE49"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sz w:val="20"/>
                <w:szCs w:val="20"/>
              </w:rPr>
            </w:pPr>
            <w:r w:rsidRPr="001A5200">
              <w:rPr>
                <w:rFonts w:asciiTheme="majorBidi" w:hAnsiTheme="majorBidi" w:cstheme="majorBidi"/>
                <w:b/>
                <w:sz w:val="20"/>
                <w:szCs w:val="20"/>
              </w:rPr>
              <w:t>Median (IQR)</w:t>
            </w:r>
          </w:p>
        </w:tc>
        <w:tc>
          <w:tcPr>
            <w:tcW w:w="1184" w:type="pct"/>
            <w:gridSpan w:val="2"/>
            <w:shd w:val="clear" w:color="auto" w:fill="auto"/>
            <w:vAlign w:val="center"/>
          </w:tcPr>
          <w:p w14:paraId="4E311799"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56.0 (52.5-60.0)</w:t>
            </w:r>
          </w:p>
        </w:tc>
        <w:tc>
          <w:tcPr>
            <w:tcW w:w="1037" w:type="pct"/>
            <w:gridSpan w:val="2"/>
            <w:shd w:val="clear" w:color="auto" w:fill="auto"/>
            <w:vAlign w:val="center"/>
          </w:tcPr>
          <w:p w14:paraId="1206FC97"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52.5 (43.5-56.0)</w:t>
            </w:r>
          </w:p>
        </w:tc>
        <w:tc>
          <w:tcPr>
            <w:tcW w:w="639" w:type="pct"/>
            <w:vMerge/>
            <w:shd w:val="clear" w:color="auto" w:fill="auto"/>
            <w:vAlign w:val="center"/>
          </w:tcPr>
          <w:p w14:paraId="3114EF18"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523" w:type="pct"/>
            <w:vMerge/>
            <w:shd w:val="clear" w:color="auto" w:fill="auto"/>
            <w:vAlign w:val="center"/>
          </w:tcPr>
          <w:p w14:paraId="0B253514"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r>
      <w:tr w:rsidR="00673D63" w:rsidRPr="001A5200" w14:paraId="5D65E4CD" w14:textId="77777777" w:rsidTr="00190A6C">
        <w:trPr>
          <w:jc w:val="center"/>
        </w:trPr>
        <w:tc>
          <w:tcPr>
            <w:tcW w:w="622" w:type="pct"/>
            <w:vMerge/>
            <w:shd w:val="clear" w:color="auto" w:fill="auto"/>
            <w:vAlign w:val="center"/>
            <w:hideMark/>
          </w:tcPr>
          <w:p w14:paraId="06A0BD36"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p>
        </w:tc>
        <w:tc>
          <w:tcPr>
            <w:tcW w:w="995" w:type="pct"/>
            <w:shd w:val="clear" w:color="auto" w:fill="auto"/>
            <w:vAlign w:val="center"/>
            <w:hideMark/>
          </w:tcPr>
          <w:p w14:paraId="5F8762C8" w14:textId="77777777" w:rsidR="00673D63" w:rsidRPr="001A5200" w:rsidRDefault="00673D63" w:rsidP="00505EA3">
            <w:pPr>
              <w:shd w:val="clear" w:color="auto" w:fill="FFFFFF"/>
              <w:bidi w:val="0"/>
              <w:spacing w:after="0" w:line="240" w:lineRule="auto"/>
              <w:jc w:val="both"/>
              <w:textAlignment w:val="top"/>
              <w:rPr>
                <w:rFonts w:asciiTheme="majorBidi" w:hAnsiTheme="majorBidi" w:cstheme="majorBidi"/>
                <w:b/>
                <w:bCs/>
                <w:sz w:val="20"/>
                <w:szCs w:val="20"/>
              </w:rPr>
            </w:pPr>
            <w:r w:rsidRPr="001A5200">
              <w:rPr>
                <w:rFonts w:asciiTheme="majorBidi" w:hAnsiTheme="majorBidi" w:cstheme="majorBidi"/>
                <w:b/>
                <w:bCs/>
                <w:sz w:val="20"/>
                <w:szCs w:val="20"/>
              </w:rPr>
              <w:t>Range</w:t>
            </w:r>
          </w:p>
        </w:tc>
        <w:tc>
          <w:tcPr>
            <w:tcW w:w="1184" w:type="pct"/>
            <w:gridSpan w:val="2"/>
            <w:shd w:val="clear" w:color="auto" w:fill="auto"/>
            <w:vAlign w:val="center"/>
          </w:tcPr>
          <w:p w14:paraId="67E58C43"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44.0 - 66.0</w:t>
            </w:r>
          </w:p>
        </w:tc>
        <w:tc>
          <w:tcPr>
            <w:tcW w:w="1037" w:type="pct"/>
            <w:gridSpan w:val="2"/>
            <w:shd w:val="clear" w:color="auto" w:fill="auto"/>
            <w:vAlign w:val="center"/>
          </w:tcPr>
          <w:p w14:paraId="5C70E13A"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bCs/>
                <w:sz w:val="20"/>
                <w:szCs w:val="20"/>
              </w:rPr>
            </w:pPr>
            <w:r w:rsidRPr="001A5200">
              <w:rPr>
                <w:rFonts w:asciiTheme="majorBidi" w:hAnsiTheme="majorBidi" w:cstheme="majorBidi"/>
                <w:bCs/>
                <w:sz w:val="20"/>
                <w:szCs w:val="20"/>
              </w:rPr>
              <w:t>36.0 - 69.0</w:t>
            </w:r>
          </w:p>
        </w:tc>
        <w:tc>
          <w:tcPr>
            <w:tcW w:w="639" w:type="pct"/>
            <w:vMerge/>
            <w:shd w:val="clear" w:color="auto" w:fill="auto"/>
            <w:vAlign w:val="center"/>
          </w:tcPr>
          <w:p w14:paraId="717D6820"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c>
          <w:tcPr>
            <w:tcW w:w="523" w:type="pct"/>
            <w:vMerge/>
            <w:shd w:val="clear" w:color="auto" w:fill="auto"/>
            <w:vAlign w:val="center"/>
          </w:tcPr>
          <w:p w14:paraId="73108FB4" w14:textId="77777777" w:rsidR="00673D63" w:rsidRPr="001A5200" w:rsidRDefault="00673D63" w:rsidP="00505EA3">
            <w:pPr>
              <w:shd w:val="clear" w:color="auto" w:fill="FFFFFF"/>
              <w:bidi w:val="0"/>
              <w:spacing w:after="0" w:line="240" w:lineRule="auto"/>
              <w:jc w:val="center"/>
              <w:textAlignment w:val="top"/>
              <w:rPr>
                <w:rFonts w:asciiTheme="majorBidi" w:hAnsiTheme="majorBidi" w:cstheme="majorBidi"/>
                <w:sz w:val="20"/>
                <w:szCs w:val="20"/>
              </w:rPr>
            </w:pPr>
          </w:p>
        </w:tc>
      </w:tr>
    </w:tbl>
    <w:p w14:paraId="4CF6031C" w14:textId="77777777" w:rsidR="00EB11B1" w:rsidRPr="001A5200" w:rsidRDefault="00EB11B1" w:rsidP="00505EA3">
      <w:pPr>
        <w:tabs>
          <w:tab w:val="center" w:pos="4680"/>
        </w:tabs>
        <w:bidi w:val="0"/>
        <w:spacing w:after="0" w:line="240" w:lineRule="auto"/>
        <w:jc w:val="both"/>
        <w:rPr>
          <w:rFonts w:asciiTheme="majorBidi" w:hAnsiTheme="majorBidi" w:cstheme="majorBidi"/>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19AB1298" w14:textId="77777777" w:rsidR="00672765" w:rsidRPr="00672765" w:rsidRDefault="00672765" w:rsidP="00672765">
      <w:pPr>
        <w:tabs>
          <w:tab w:val="center" w:pos="4680"/>
        </w:tabs>
        <w:bidi w:val="0"/>
        <w:spacing w:after="0" w:line="240" w:lineRule="auto"/>
        <w:jc w:val="both"/>
        <w:rPr>
          <w:rFonts w:asciiTheme="majorBidi" w:hAnsiTheme="majorBidi" w:cstheme="majorBidi"/>
          <w:sz w:val="20"/>
          <w:szCs w:val="20"/>
        </w:rPr>
      </w:pPr>
      <w:r w:rsidRPr="00672765">
        <w:rPr>
          <w:rFonts w:asciiTheme="majorBidi" w:hAnsiTheme="majorBidi" w:cstheme="majorBidi"/>
          <w:sz w:val="20"/>
          <w:szCs w:val="20"/>
        </w:rPr>
        <w:lastRenderedPageBreak/>
        <w:t>A P value less than 0.05 is considered significant, and a P value less than 0.01 is considered extremely significant, according to the standard deviation (SD), F (one-way ANOVA test), and X2 (chi-square test)</w:t>
      </w:r>
      <w:r w:rsidRPr="00672765">
        <w:rPr>
          <w:rFonts w:asciiTheme="majorBidi" w:hAnsiTheme="majorBidi" w:cs="Times New Roman"/>
          <w:sz w:val="20"/>
          <w:szCs w:val="20"/>
          <w:rtl/>
        </w:rPr>
        <w:t>.</w:t>
      </w:r>
    </w:p>
    <w:p w14:paraId="52F5115B" w14:textId="77777777" w:rsidR="00672765" w:rsidRPr="00672765" w:rsidRDefault="00672765" w:rsidP="00672765">
      <w:pPr>
        <w:tabs>
          <w:tab w:val="center" w:pos="4680"/>
        </w:tabs>
        <w:bidi w:val="0"/>
        <w:spacing w:after="0" w:line="240" w:lineRule="auto"/>
        <w:jc w:val="both"/>
        <w:rPr>
          <w:rFonts w:asciiTheme="majorBidi" w:hAnsiTheme="majorBidi" w:cstheme="majorBidi"/>
          <w:sz w:val="20"/>
          <w:szCs w:val="20"/>
        </w:rPr>
      </w:pPr>
      <w:r w:rsidRPr="00672765">
        <w:rPr>
          <w:rFonts w:asciiTheme="majorBidi" w:hAnsiTheme="majorBidi" w:cstheme="majorBidi"/>
          <w:sz w:val="20"/>
          <w:szCs w:val="20"/>
        </w:rPr>
        <w:t>Regarding smoking, diabetes, and hypertension, there were no appreciable differences between the groups under study. Furthermore, with a P-value of 0.04, patients were substantially more likely than controls to have a positive family history of the illness. Table</w:t>
      </w:r>
      <w:r w:rsidRPr="00672765">
        <w:rPr>
          <w:rFonts w:asciiTheme="majorBidi" w:hAnsiTheme="majorBidi" w:cs="Times New Roman"/>
          <w:sz w:val="20"/>
          <w:szCs w:val="20"/>
          <w:rtl/>
        </w:rPr>
        <w:t xml:space="preserve"> (2).</w:t>
      </w:r>
    </w:p>
    <w:p w14:paraId="427A1ADB" w14:textId="77777777" w:rsidR="00EB11B1" w:rsidRPr="001A5200" w:rsidRDefault="00EB11B1" w:rsidP="00505EA3">
      <w:pPr>
        <w:tabs>
          <w:tab w:val="center" w:pos="4680"/>
        </w:tabs>
        <w:bidi w:val="0"/>
        <w:spacing w:after="0" w:line="240" w:lineRule="auto"/>
        <w:jc w:val="both"/>
        <w:rPr>
          <w:rFonts w:asciiTheme="majorBidi" w:hAnsiTheme="majorBidi" w:cstheme="majorBidi"/>
          <w:b/>
          <w:bCs/>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1EA14EC6" w14:textId="5EDF74EA" w:rsidR="00DE3B97" w:rsidRPr="001A5200" w:rsidRDefault="00D65590" w:rsidP="00505EA3">
      <w:pPr>
        <w:tabs>
          <w:tab w:val="center" w:pos="4680"/>
        </w:tabs>
        <w:bidi w:val="0"/>
        <w:spacing w:before="120" w:after="120" w:line="240" w:lineRule="auto"/>
        <w:jc w:val="both"/>
        <w:rPr>
          <w:rFonts w:asciiTheme="majorBidi" w:hAnsiTheme="majorBidi" w:cstheme="majorBidi"/>
          <w:sz w:val="20"/>
          <w:szCs w:val="20"/>
        </w:rPr>
      </w:pPr>
      <w:proofErr w:type="gramStart"/>
      <w:r w:rsidRPr="001A5200">
        <w:rPr>
          <w:rFonts w:asciiTheme="majorBidi" w:hAnsiTheme="majorBidi" w:cstheme="majorBidi"/>
          <w:b/>
          <w:bCs/>
          <w:sz w:val="20"/>
          <w:szCs w:val="20"/>
        </w:rPr>
        <w:lastRenderedPageBreak/>
        <w:t>Table (2)</w:t>
      </w:r>
      <w:r>
        <w:rPr>
          <w:rFonts w:asciiTheme="majorBidi" w:hAnsiTheme="majorBidi" w:cstheme="majorBidi"/>
          <w:b/>
          <w:bCs/>
          <w:sz w:val="20"/>
          <w:szCs w:val="20"/>
        </w:rPr>
        <w:t xml:space="preserve"> </w:t>
      </w:r>
      <w:r w:rsidR="003E6577">
        <w:rPr>
          <w:rFonts w:asciiTheme="majorBidi" w:hAnsiTheme="majorBidi" w:cstheme="majorBidi"/>
          <w:sz w:val="20"/>
          <w:szCs w:val="20"/>
        </w:rPr>
        <w:t>Clinical history of the two</w:t>
      </w:r>
      <w:r w:rsidR="00EB795A" w:rsidRPr="00D65590">
        <w:rPr>
          <w:rFonts w:asciiTheme="majorBidi" w:hAnsiTheme="majorBidi" w:cstheme="majorBidi"/>
          <w:sz w:val="20"/>
          <w:szCs w:val="20"/>
        </w:rPr>
        <w:t xml:space="preserve"> groups that were investigated</w:t>
      </w:r>
      <w:r>
        <w:rPr>
          <w:rFonts w:asciiTheme="majorBidi" w:hAnsiTheme="majorBidi" w:cstheme="majorBidi"/>
          <w:sz w:val="20"/>
          <w:szCs w:val="20"/>
        </w:rPr>
        <w:t>.</w:t>
      </w:r>
      <w:proofErr w:type="gramEnd"/>
    </w:p>
    <w:tbl>
      <w:tblPr>
        <w:tblW w:w="4580" w:type="pct"/>
        <w:jc w:val="center"/>
        <w:tblBorders>
          <w:top w:val="single" w:sz="4" w:space="0" w:color="auto"/>
          <w:bottom w:val="single" w:sz="4" w:space="0" w:color="auto"/>
        </w:tblBorders>
        <w:tblLook w:val="04A0" w:firstRow="1" w:lastRow="0" w:firstColumn="1" w:lastColumn="0" w:noHBand="0" w:noVBand="1"/>
      </w:tblPr>
      <w:tblGrid>
        <w:gridCol w:w="1275"/>
        <w:gridCol w:w="1292"/>
        <w:gridCol w:w="628"/>
        <w:gridCol w:w="971"/>
        <w:gridCol w:w="773"/>
        <w:gridCol w:w="1436"/>
        <w:gridCol w:w="864"/>
        <w:gridCol w:w="2027"/>
      </w:tblGrid>
      <w:tr w:rsidR="00CF5AEB" w:rsidRPr="001A5200" w14:paraId="79B47A2A" w14:textId="77777777" w:rsidTr="00CF5AEB">
        <w:trPr>
          <w:trHeight w:val="77"/>
          <w:jc w:val="center"/>
        </w:trPr>
        <w:tc>
          <w:tcPr>
            <w:tcW w:w="1385" w:type="pct"/>
            <w:gridSpan w:val="2"/>
            <w:vMerge w:val="restart"/>
            <w:tcBorders>
              <w:top w:val="single" w:sz="4" w:space="0" w:color="auto"/>
              <w:bottom w:val="nil"/>
            </w:tcBorders>
            <w:shd w:val="clear" w:color="auto" w:fill="auto"/>
            <w:vAlign w:val="center"/>
          </w:tcPr>
          <w:p w14:paraId="04A91287" w14:textId="77777777" w:rsidR="00CF5AEB" w:rsidRPr="001A5200" w:rsidRDefault="00CF5AE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Variable</w:t>
            </w:r>
          </w:p>
          <w:p w14:paraId="41C7DFBF" w14:textId="77777777" w:rsidR="00CF5AEB" w:rsidRPr="001A5200" w:rsidRDefault="00CF5AEB" w:rsidP="00505EA3">
            <w:pPr>
              <w:bidi w:val="0"/>
              <w:spacing w:after="0" w:line="240" w:lineRule="auto"/>
              <w:jc w:val="both"/>
              <w:rPr>
                <w:rFonts w:asciiTheme="majorBidi" w:hAnsiTheme="majorBidi" w:cstheme="majorBidi"/>
                <w:b/>
                <w:bCs/>
                <w:sz w:val="20"/>
                <w:szCs w:val="20"/>
              </w:rPr>
            </w:pPr>
          </w:p>
        </w:tc>
        <w:tc>
          <w:tcPr>
            <w:tcW w:w="863" w:type="pct"/>
            <w:gridSpan w:val="2"/>
            <w:tcBorders>
              <w:top w:val="single" w:sz="4" w:space="0" w:color="auto"/>
              <w:bottom w:val="nil"/>
            </w:tcBorders>
            <w:shd w:val="clear" w:color="auto" w:fill="auto"/>
            <w:vAlign w:val="center"/>
            <w:hideMark/>
          </w:tcPr>
          <w:p w14:paraId="2BDF8CDD" w14:textId="1C9144AE" w:rsidR="00CF5AEB" w:rsidRPr="001A5200" w:rsidRDefault="00CF5AEB" w:rsidP="00505EA3">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CRC </w:t>
            </w:r>
            <w:r w:rsidRPr="001A5200">
              <w:rPr>
                <w:rFonts w:asciiTheme="majorBidi" w:hAnsiTheme="majorBidi" w:cstheme="majorBidi"/>
                <w:b/>
                <w:bCs/>
                <w:sz w:val="20"/>
                <w:szCs w:val="20"/>
              </w:rPr>
              <w:t>group</w:t>
            </w:r>
          </w:p>
          <w:p w14:paraId="3959BC24" w14:textId="022D694A" w:rsidR="00CF5AEB" w:rsidRPr="001A5200" w:rsidRDefault="00CF5AEB" w:rsidP="00CF5AEB">
            <w:pPr>
              <w:bidi w:val="0"/>
              <w:spacing w:after="0" w:line="240" w:lineRule="auto"/>
              <w:jc w:val="center"/>
              <w:rPr>
                <w:rFonts w:asciiTheme="majorBidi" w:hAnsiTheme="majorBidi" w:cstheme="majorBidi"/>
                <w:b/>
                <w:bCs/>
                <w:sz w:val="20"/>
                <w:szCs w:val="20"/>
                <w:rtl/>
                <w:lang w:bidi="ar-EG"/>
              </w:rPr>
            </w:pPr>
            <w:r w:rsidRPr="001A5200">
              <w:rPr>
                <w:rFonts w:asciiTheme="majorBidi" w:hAnsiTheme="majorBidi" w:cstheme="majorBidi"/>
                <w:b/>
                <w:bCs/>
                <w:sz w:val="20"/>
                <w:szCs w:val="20"/>
              </w:rPr>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1192" w:type="pct"/>
            <w:gridSpan w:val="2"/>
            <w:tcBorders>
              <w:top w:val="single" w:sz="4" w:space="0" w:color="auto"/>
              <w:bottom w:val="nil"/>
            </w:tcBorders>
            <w:shd w:val="clear" w:color="auto" w:fill="auto"/>
            <w:vAlign w:val="center"/>
          </w:tcPr>
          <w:p w14:paraId="07B5EC34"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Control group</w:t>
            </w:r>
          </w:p>
          <w:p w14:paraId="6D221C04" w14:textId="232CEC97" w:rsidR="00CF5AEB" w:rsidRPr="001A5200" w:rsidRDefault="00CF5AEB" w:rsidP="00CF5AEB">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466" w:type="pct"/>
            <w:vMerge w:val="restart"/>
            <w:tcBorders>
              <w:top w:val="single" w:sz="4" w:space="0" w:color="auto"/>
              <w:bottom w:val="single" w:sz="4" w:space="0" w:color="auto"/>
            </w:tcBorders>
            <w:shd w:val="clear" w:color="auto" w:fill="auto"/>
            <w:vAlign w:val="center"/>
            <w:hideMark/>
          </w:tcPr>
          <w:p w14:paraId="5099BE89"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1094" w:type="pct"/>
            <w:vMerge w:val="restart"/>
            <w:tcBorders>
              <w:top w:val="single" w:sz="4" w:space="0" w:color="auto"/>
              <w:bottom w:val="single" w:sz="4" w:space="0" w:color="auto"/>
            </w:tcBorders>
            <w:shd w:val="clear" w:color="auto" w:fill="auto"/>
            <w:vAlign w:val="center"/>
          </w:tcPr>
          <w:p w14:paraId="352F7BFD"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CF5AEB" w:rsidRPr="001A5200" w14:paraId="33CDCCDD" w14:textId="77777777" w:rsidTr="00CF5AEB">
        <w:trPr>
          <w:trHeight w:val="53"/>
          <w:jc w:val="center"/>
        </w:trPr>
        <w:tc>
          <w:tcPr>
            <w:tcW w:w="1385" w:type="pct"/>
            <w:gridSpan w:val="2"/>
            <w:vMerge/>
            <w:tcBorders>
              <w:top w:val="nil"/>
              <w:bottom w:val="single" w:sz="4" w:space="0" w:color="auto"/>
            </w:tcBorders>
            <w:shd w:val="clear" w:color="auto" w:fill="auto"/>
            <w:vAlign w:val="center"/>
          </w:tcPr>
          <w:p w14:paraId="1BBF949F" w14:textId="77777777" w:rsidR="00CF5AEB" w:rsidRPr="001A5200" w:rsidRDefault="00CF5AEB" w:rsidP="00505EA3">
            <w:pPr>
              <w:bidi w:val="0"/>
              <w:spacing w:after="0" w:line="240" w:lineRule="auto"/>
              <w:jc w:val="both"/>
              <w:rPr>
                <w:rFonts w:asciiTheme="majorBidi" w:hAnsiTheme="majorBidi" w:cstheme="majorBidi"/>
                <w:b/>
                <w:bCs/>
                <w:sz w:val="20"/>
                <w:szCs w:val="20"/>
              </w:rPr>
            </w:pPr>
          </w:p>
        </w:tc>
        <w:tc>
          <w:tcPr>
            <w:tcW w:w="339" w:type="pct"/>
            <w:tcBorders>
              <w:top w:val="nil"/>
              <w:bottom w:val="single" w:sz="4" w:space="0" w:color="auto"/>
            </w:tcBorders>
            <w:shd w:val="clear" w:color="auto" w:fill="auto"/>
            <w:vAlign w:val="center"/>
          </w:tcPr>
          <w:p w14:paraId="1FB558E0"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524" w:type="pct"/>
            <w:tcBorders>
              <w:top w:val="nil"/>
              <w:bottom w:val="single" w:sz="4" w:space="0" w:color="auto"/>
            </w:tcBorders>
            <w:shd w:val="clear" w:color="auto" w:fill="auto"/>
            <w:vAlign w:val="center"/>
          </w:tcPr>
          <w:p w14:paraId="0B1F5D4C"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w:t>
            </w:r>
          </w:p>
        </w:tc>
        <w:tc>
          <w:tcPr>
            <w:tcW w:w="417" w:type="pct"/>
            <w:tcBorders>
              <w:top w:val="nil"/>
              <w:bottom w:val="single" w:sz="4" w:space="0" w:color="auto"/>
            </w:tcBorders>
            <w:shd w:val="clear" w:color="auto" w:fill="auto"/>
            <w:vAlign w:val="center"/>
          </w:tcPr>
          <w:p w14:paraId="691563A7"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No.</w:t>
            </w:r>
          </w:p>
        </w:tc>
        <w:tc>
          <w:tcPr>
            <w:tcW w:w="775" w:type="pct"/>
            <w:tcBorders>
              <w:top w:val="nil"/>
              <w:bottom w:val="single" w:sz="4" w:space="0" w:color="auto"/>
            </w:tcBorders>
            <w:shd w:val="clear" w:color="auto" w:fill="auto"/>
            <w:vAlign w:val="center"/>
          </w:tcPr>
          <w:p w14:paraId="749CF972" w14:textId="77777777" w:rsidR="00CF5AEB" w:rsidRPr="001A5200" w:rsidRDefault="00CF5AEB" w:rsidP="00505EA3">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t>%</w:t>
            </w:r>
          </w:p>
        </w:tc>
        <w:tc>
          <w:tcPr>
            <w:tcW w:w="466" w:type="pct"/>
            <w:vMerge/>
            <w:tcBorders>
              <w:top w:val="nil"/>
              <w:bottom w:val="single" w:sz="4" w:space="0" w:color="auto"/>
            </w:tcBorders>
            <w:shd w:val="clear" w:color="auto" w:fill="auto"/>
            <w:vAlign w:val="center"/>
          </w:tcPr>
          <w:p w14:paraId="451A8D50" w14:textId="77777777" w:rsidR="00CF5AEB" w:rsidRPr="001A5200" w:rsidRDefault="00CF5AEB" w:rsidP="00505EA3">
            <w:pPr>
              <w:bidi w:val="0"/>
              <w:spacing w:after="0" w:line="240" w:lineRule="auto"/>
              <w:jc w:val="center"/>
              <w:rPr>
                <w:rFonts w:asciiTheme="majorBidi" w:hAnsiTheme="majorBidi" w:cstheme="majorBidi"/>
                <w:sz w:val="20"/>
                <w:szCs w:val="20"/>
              </w:rPr>
            </w:pPr>
          </w:p>
        </w:tc>
        <w:tc>
          <w:tcPr>
            <w:tcW w:w="1094" w:type="pct"/>
            <w:vMerge/>
            <w:tcBorders>
              <w:top w:val="nil"/>
              <w:bottom w:val="single" w:sz="4" w:space="0" w:color="auto"/>
            </w:tcBorders>
            <w:shd w:val="clear" w:color="auto" w:fill="auto"/>
          </w:tcPr>
          <w:p w14:paraId="26AC1C7E" w14:textId="77777777" w:rsidR="00CF5AEB" w:rsidRPr="001A5200" w:rsidRDefault="00CF5AEB" w:rsidP="00505EA3">
            <w:pPr>
              <w:bidi w:val="0"/>
              <w:spacing w:after="0" w:line="240" w:lineRule="auto"/>
              <w:jc w:val="center"/>
              <w:rPr>
                <w:rFonts w:asciiTheme="majorBidi" w:hAnsiTheme="majorBidi" w:cstheme="majorBidi"/>
                <w:sz w:val="20"/>
                <w:szCs w:val="20"/>
              </w:rPr>
            </w:pPr>
          </w:p>
        </w:tc>
      </w:tr>
      <w:tr w:rsidR="00CF5AEB" w:rsidRPr="001A5200" w14:paraId="3266AE42" w14:textId="77777777" w:rsidTr="00CF5AEB">
        <w:trPr>
          <w:trHeight w:val="87"/>
          <w:jc w:val="center"/>
        </w:trPr>
        <w:tc>
          <w:tcPr>
            <w:tcW w:w="688" w:type="pct"/>
            <w:vMerge w:val="restart"/>
            <w:tcBorders>
              <w:top w:val="single" w:sz="4" w:space="0" w:color="auto"/>
            </w:tcBorders>
            <w:shd w:val="clear" w:color="auto" w:fill="auto"/>
            <w:vAlign w:val="center"/>
            <w:hideMark/>
          </w:tcPr>
          <w:p w14:paraId="1850E17E" w14:textId="77777777" w:rsidR="00CF5AEB" w:rsidRDefault="00CF5AEB" w:rsidP="00505EA3">
            <w:pPr>
              <w:bidi w:val="0"/>
              <w:spacing w:after="0" w:line="240" w:lineRule="auto"/>
              <w:jc w:val="both"/>
              <w:rPr>
                <w:rFonts w:asciiTheme="majorBidi" w:hAnsiTheme="majorBidi" w:cstheme="majorBidi"/>
                <w:b/>
                <w:bCs/>
                <w:sz w:val="20"/>
                <w:szCs w:val="20"/>
              </w:rPr>
            </w:pPr>
          </w:p>
          <w:p w14:paraId="793911E0" w14:textId="77777777" w:rsidR="00CF5AEB" w:rsidRPr="001A5200" w:rsidRDefault="00CF5AEB" w:rsidP="00CF5AE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Smoking</w:t>
            </w:r>
          </w:p>
        </w:tc>
        <w:tc>
          <w:tcPr>
            <w:tcW w:w="697" w:type="pct"/>
            <w:vMerge w:val="restart"/>
            <w:tcBorders>
              <w:top w:val="single" w:sz="4" w:space="0" w:color="auto"/>
            </w:tcBorders>
            <w:shd w:val="clear" w:color="auto" w:fill="auto"/>
            <w:vAlign w:val="center"/>
            <w:hideMark/>
          </w:tcPr>
          <w:p w14:paraId="1D6FA52E" w14:textId="20BFFCE4" w:rsidR="00CF5AEB" w:rsidRPr="001A5200" w:rsidRDefault="00CF5AEB" w:rsidP="00CF5AEB">
            <w:pPr>
              <w:bidi w:val="0"/>
              <w:spacing w:after="0" w:line="240" w:lineRule="auto"/>
              <w:jc w:val="both"/>
              <w:rPr>
                <w:rFonts w:asciiTheme="majorBidi" w:hAnsiTheme="majorBidi" w:cstheme="majorBidi"/>
                <w:b/>
                <w:bCs/>
                <w:sz w:val="20"/>
                <w:szCs w:val="20"/>
              </w:rPr>
            </w:pPr>
            <w:r w:rsidRPr="00CF5AEB">
              <w:rPr>
                <w:rFonts w:asciiTheme="majorBidi" w:hAnsiTheme="majorBidi" w:cstheme="majorBidi"/>
                <w:b/>
                <w:bCs/>
                <w:sz w:val="20"/>
                <w:szCs w:val="20"/>
              </w:rPr>
              <w:t>Positive</w:t>
            </w:r>
          </w:p>
        </w:tc>
        <w:tc>
          <w:tcPr>
            <w:tcW w:w="339" w:type="pct"/>
            <w:vMerge w:val="restart"/>
            <w:tcBorders>
              <w:top w:val="single" w:sz="4" w:space="0" w:color="auto"/>
            </w:tcBorders>
            <w:shd w:val="clear" w:color="auto" w:fill="auto"/>
            <w:vAlign w:val="center"/>
          </w:tcPr>
          <w:p w14:paraId="1AD332D3" w14:textId="0B54AAEC" w:rsidR="00CF5AEB" w:rsidRPr="001A5200" w:rsidRDefault="00CF5AEB" w:rsidP="00505EA3">
            <w:pPr>
              <w:bidi w:val="0"/>
              <w:spacing w:after="0" w:line="240" w:lineRule="auto"/>
              <w:jc w:val="center"/>
              <w:rPr>
                <w:rFonts w:asciiTheme="majorBidi" w:hAnsiTheme="majorBidi" w:cstheme="majorBidi"/>
                <w:sz w:val="20"/>
                <w:szCs w:val="20"/>
              </w:rPr>
            </w:pPr>
          </w:p>
          <w:p w14:paraId="5F209147" w14:textId="6ACF62D4"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29</w:t>
            </w:r>
          </w:p>
        </w:tc>
        <w:tc>
          <w:tcPr>
            <w:tcW w:w="524" w:type="pct"/>
            <w:vMerge w:val="restart"/>
            <w:tcBorders>
              <w:top w:val="single" w:sz="4" w:space="0" w:color="auto"/>
            </w:tcBorders>
            <w:shd w:val="clear" w:color="auto" w:fill="auto"/>
            <w:vAlign w:val="center"/>
          </w:tcPr>
          <w:p w14:paraId="49A37B0A" w14:textId="0E50BF1D" w:rsidR="00CF5AEB" w:rsidRPr="001A5200" w:rsidRDefault="00CF5AEB" w:rsidP="00505EA3">
            <w:pPr>
              <w:bidi w:val="0"/>
              <w:spacing w:after="0" w:line="240" w:lineRule="auto"/>
              <w:jc w:val="center"/>
              <w:rPr>
                <w:rFonts w:asciiTheme="majorBidi" w:hAnsiTheme="majorBidi" w:cstheme="majorBidi"/>
                <w:sz w:val="20"/>
                <w:szCs w:val="20"/>
              </w:rPr>
            </w:pPr>
          </w:p>
          <w:p w14:paraId="7F723A23" w14:textId="775C2ED1"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64.4</w:t>
            </w:r>
            <w:r w:rsidRPr="001A5200">
              <w:rPr>
                <w:rFonts w:asciiTheme="majorBidi" w:hAnsiTheme="majorBidi" w:cstheme="majorBidi"/>
                <w:sz w:val="20"/>
                <w:szCs w:val="20"/>
              </w:rPr>
              <w:t>%</w:t>
            </w:r>
          </w:p>
        </w:tc>
        <w:tc>
          <w:tcPr>
            <w:tcW w:w="417" w:type="pct"/>
            <w:tcBorders>
              <w:top w:val="single" w:sz="4" w:space="0" w:color="auto"/>
            </w:tcBorders>
            <w:shd w:val="clear" w:color="auto" w:fill="auto"/>
            <w:vAlign w:val="center"/>
          </w:tcPr>
          <w:p w14:paraId="6AF45A9B" w14:textId="4AC07228" w:rsidR="00CF5AEB" w:rsidRPr="001A5200" w:rsidRDefault="00CF5AEB" w:rsidP="00CF5AEB">
            <w:pPr>
              <w:bidi w:val="0"/>
              <w:spacing w:after="0" w:line="240" w:lineRule="auto"/>
              <w:rPr>
                <w:rFonts w:asciiTheme="majorBidi" w:hAnsiTheme="majorBidi" w:cstheme="majorBidi"/>
                <w:sz w:val="20"/>
                <w:szCs w:val="20"/>
              </w:rPr>
            </w:pPr>
          </w:p>
        </w:tc>
        <w:tc>
          <w:tcPr>
            <w:tcW w:w="775" w:type="pct"/>
            <w:tcBorders>
              <w:top w:val="single" w:sz="4" w:space="0" w:color="auto"/>
            </w:tcBorders>
            <w:shd w:val="clear" w:color="auto" w:fill="auto"/>
            <w:vAlign w:val="center"/>
          </w:tcPr>
          <w:p w14:paraId="3B44DA3B" w14:textId="72B546FF" w:rsidR="00CF5AEB" w:rsidRPr="001A5200" w:rsidRDefault="00CF5AEB" w:rsidP="00505EA3">
            <w:pPr>
              <w:bidi w:val="0"/>
              <w:spacing w:after="0" w:line="240" w:lineRule="auto"/>
              <w:jc w:val="center"/>
              <w:rPr>
                <w:rFonts w:asciiTheme="majorBidi" w:hAnsiTheme="majorBidi" w:cstheme="majorBidi"/>
                <w:sz w:val="20"/>
                <w:szCs w:val="20"/>
              </w:rPr>
            </w:pPr>
          </w:p>
        </w:tc>
        <w:tc>
          <w:tcPr>
            <w:tcW w:w="466" w:type="pct"/>
            <w:vMerge w:val="restart"/>
            <w:tcBorders>
              <w:top w:val="single" w:sz="4" w:space="0" w:color="auto"/>
            </w:tcBorders>
            <w:shd w:val="clear" w:color="auto" w:fill="auto"/>
            <w:vAlign w:val="center"/>
          </w:tcPr>
          <w:p w14:paraId="71E76E6B" w14:textId="77777777" w:rsidR="00CF5AEB" w:rsidRDefault="00CF5AEB" w:rsidP="00505EA3">
            <w:pPr>
              <w:bidi w:val="0"/>
              <w:spacing w:after="0" w:line="240" w:lineRule="auto"/>
              <w:jc w:val="center"/>
              <w:rPr>
                <w:rFonts w:asciiTheme="majorBidi" w:hAnsiTheme="majorBidi" w:cstheme="majorBidi"/>
                <w:sz w:val="20"/>
                <w:szCs w:val="20"/>
              </w:rPr>
            </w:pPr>
          </w:p>
          <w:p w14:paraId="5B74CEE4" w14:textId="402144E9" w:rsidR="00CF5AEB" w:rsidRPr="001A5200" w:rsidRDefault="00CF5AEB" w:rsidP="0035588B">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xml:space="preserve">= </w:t>
            </w:r>
            <w:r w:rsidR="0035588B" w:rsidRPr="0035588B">
              <w:rPr>
                <w:rFonts w:asciiTheme="majorBidi" w:hAnsiTheme="majorBidi" w:cstheme="majorBidi"/>
                <w:sz w:val="20"/>
                <w:szCs w:val="20"/>
              </w:rPr>
              <w:t>0.413</w:t>
            </w:r>
          </w:p>
        </w:tc>
        <w:tc>
          <w:tcPr>
            <w:tcW w:w="1094" w:type="pct"/>
            <w:vMerge w:val="restart"/>
            <w:tcBorders>
              <w:top w:val="single" w:sz="4" w:space="0" w:color="auto"/>
            </w:tcBorders>
            <w:shd w:val="clear" w:color="auto" w:fill="auto"/>
            <w:vAlign w:val="center"/>
          </w:tcPr>
          <w:p w14:paraId="630E307A" w14:textId="55B9B45E" w:rsidR="00CF5AEB" w:rsidRPr="001A5200" w:rsidRDefault="0035588B" w:rsidP="0035588B">
            <w:pPr>
              <w:bidi w:val="0"/>
              <w:spacing w:after="0" w:line="240" w:lineRule="auto"/>
              <w:jc w:val="center"/>
              <w:rPr>
                <w:rFonts w:asciiTheme="majorBidi" w:hAnsiTheme="majorBidi" w:cstheme="majorBidi"/>
                <w:b/>
                <w:bCs/>
                <w:sz w:val="20"/>
                <w:szCs w:val="20"/>
              </w:rPr>
            </w:pPr>
            <w:r w:rsidRPr="0035588B">
              <w:rPr>
                <w:rFonts w:asciiTheme="majorBidi" w:hAnsiTheme="majorBidi" w:cstheme="majorBidi"/>
                <w:b/>
                <w:bCs/>
                <w:sz w:val="20"/>
                <w:szCs w:val="20"/>
              </w:rPr>
              <w:t>0.520</w:t>
            </w:r>
          </w:p>
        </w:tc>
      </w:tr>
      <w:tr w:rsidR="00CF5AEB" w:rsidRPr="001A5200" w14:paraId="437C8F29" w14:textId="77777777" w:rsidTr="00CF5AEB">
        <w:trPr>
          <w:trHeight w:val="109"/>
          <w:jc w:val="center"/>
        </w:trPr>
        <w:tc>
          <w:tcPr>
            <w:tcW w:w="688" w:type="pct"/>
            <w:vMerge/>
            <w:shd w:val="clear" w:color="auto" w:fill="auto"/>
            <w:vAlign w:val="center"/>
          </w:tcPr>
          <w:p w14:paraId="2837F012" w14:textId="77777777" w:rsidR="00CF5AEB" w:rsidRPr="001A5200" w:rsidRDefault="00CF5AEB" w:rsidP="00505EA3">
            <w:pPr>
              <w:bidi w:val="0"/>
              <w:spacing w:after="0" w:line="240" w:lineRule="auto"/>
              <w:jc w:val="both"/>
              <w:rPr>
                <w:rFonts w:asciiTheme="majorBidi" w:hAnsiTheme="majorBidi" w:cstheme="majorBidi"/>
                <w:b/>
                <w:bCs/>
                <w:sz w:val="20"/>
                <w:szCs w:val="20"/>
              </w:rPr>
            </w:pPr>
          </w:p>
        </w:tc>
        <w:tc>
          <w:tcPr>
            <w:tcW w:w="697" w:type="pct"/>
            <w:vMerge/>
            <w:shd w:val="clear" w:color="auto" w:fill="auto"/>
            <w:vAlign w:val="center"/>
          </w:tcPr>
          <w:p w14:paraId="0501B111" w14:textId="4CB276DB" w:rsidR="00CF5AEB" w:rsidRPr="001A5200" w:rsidRDefault="00CF5AEB" w:rsidP="00505EA3">
            <w:pPr>
              <w:bidi w:val="0"/>
              <w:spacing w:after="0" w:line="240" w:lineRule="auto"/>
              <w:jc w:val="both"/>
              <w:rPr>
                <w:rFonts w:asciiTheme="majorBidi" w:hAnsiTheme="majorBidi" w:cstheme="majorBidi"/>
                <w:b/>
                <w:bCs/>
                <w:sz w:val="20"/>
                <w:szCs w:val="20"/>
              </w:rPr>
            </w:pPr>
          </w:p>
        </w:tc>
        <w:tc>
          <w:tcPr>
            <w:tcW w:w="339" w:type="pct"/>
            <w:vMerge/>
            <w:shd w:val="clear" w:color="auto" w:fill="auto"/>
            <w:vAlign w:val="center"/>
          </w:tcPr>
          <w:p w14:paraId="2CF29A71" w14:textId="1BC62056" w:rsidR="00CF5AEB" w:rsidRPr="001A5200" w:rsidRDefault="00CF5AEB" w:rsidP="00505EA3">
            <w:pPr>
              <w:bidi w:val="0"/>
              <w:spacing w:after="0" w:line="240" w:lineRule="auto"/>
              <w:jc w:val="center"/>
              <w:rPr>
                <w:rFonts w:asciiTheme="majorBidi" w:hAnsiTheme="majorBidi" w:cstheme="majorBidi"/>
                <w:sz w:val="20"/>
                <w:szCs w:val="20"/>
              </w:rPr>
            </w:pPr>
          </w:p>
        </w:tc>
        <w:tc>
          <w:tcPr>
            <w:tcW w:w="524" w:type="pct"/>
            <w:vMerge/>
            <w:shd w:val="clear" w:color="auto" w:fill="auto"/>
            <w:vAlign w:val="center"/>
          </w:tcPr>
          <w:p w14:paraId="721B9C8B" w14:textId="617110EF" w:rsidR="00CF5AEB" w:rsidRPr="001A5200" w:rsidRDefault="00CF5AEB" w:rsidP="00505EA3">
            <w:pPr>
              <w:bidi w:val="0"/>
              <w:spacing w:after="0" w:line="240" w:lineRule="auto"/>
              <w:jc w:val="center"/>
              <w:rPr>
                <w:rFonts w:asciiTheme="majorBidi" w:hAnsiTheme="majorBidi" w:cstheme="majorBidi"/>
                <w:sz w:val="20"/>
                <w:szCs w:val="20"/>
              </w:rPr>
            </w:pPr>
          </w:p>
        </w:tc>
        <w:tc>
          <w:tcPr>
            <w:tcW w:w="417" w:type="pct"/>
            <w:shd w:val="clear" w:color="auto" w:fill="auto"/>
            <w:vAlign w:val="center"/>
          </w:tcPr>
          <w:p w14:paraId="3CEDFFCE" w14:textId="25600F27"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26</w:t>
            </w:r>
          </w:p>
        </w:tc>
        <w:tc>
          <w:tcPr>
            <w:tcW w:w="775" w:type="pct"/>
            <w:shd w:val="clear" w:color="auto" w:fill="auto"/>
            <w:vAlign w:val="center"/>
          </w:tcPr>
          <w:p w14:paraId="117B504A" w14:textId="4706012B" w:rsidR="00CF5AEB" w:rsidRPr="001A5200" w:rsidRDefault="0035588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57.7</w:t>
            </w:r>
            <w:r w:rsidR="00CF5AEB" w:rsidRPr="001A5200">
              <w:rPr>
                <w:rFonts w:asciiTheme="majorBidi" w:hAnsiTheme="majorBidi" w:cstheme="majorBidi"/>
                <w:sz w:val="20"/>
                <w:szCs w:val="20"/>
              </w:rPr>
              <w:t>%</w:t>
            </w:r>
          </w:p>
        </w:tc>
        <w:tc>
          <w:tcPr>
            <w:tcW w:w="466" w:type="pct"/>
            <w:vMerge/>
            <w:shd w:val="clear" w:color="auto" w:fill="auto"/>
            <w:vAlign w:val="center"/>
          </w:tcPr>
          <w:p w14:paraId="42C3E12D" w14:textId="77777777" w:rsidR="00CF5AEB" w:rsidRPr="001A5200" w:rsidRDefault="00CF5AEB" w:rsidP="00505EA3">
            <w:pPr>
              <w:bidi w:val="0"/>
              <w:spacing w:after="0" w:line="240" w:lineRule="auto"/>
              <w:jc w:val="center"/>
              <w:rPr>
                <w:rFonts w:asciiTheme="majorBidi" w:hAnsiTheme="majorBidi" w:cstheme="majorBidi"/>
                <w:sz w:val="20"/>
                <w:szCs w:val="20"/>
              </w:rPr>
            </w:pPr>
          </w:p>
        </w:tc>
        <w:tc>
          <w:tcPr>
            <w:tcW w:w="1094" w:type="pct"/>
            <w:vMerge/>
            <w:shd w:val="clear" w:color="auto" w:fill="auto"/>
            <w:vAlign w:val="center"/>
          </w:tcPr>
          <w:p w14:paraId="6FA26153" w14:textId="77777777" w:rsidR="00CF5AEB" w:rsidRPr="001A5200" w:rsidRDefault="00CF5AEB" w:rsidP="00505EA3">
            <w:pPr>
              <w:bidi w:val="0"/>
              <w:spacing w:after="0" w:line="240" w:lineRule="auto"/>
              <w:jc w:val="center"/>
              <w:rPr>
                <w:rFonts w:asciiTheme="majorBidi" w:hAnsiTheme="majorBidi" w:cstheme="majorBidi"/>
                <w:sz w:val="20"/>
                <w:szCs w:val="20"/>
              </w:rPr>
            </w:pPr>
          </w:p>
        </w:tc>
      </w:tr>
      <w:tr w:rsidR="00CF5AEB" w:rsidRPr="001A5200" w14:paraId="7D4A9CF5" w14:textId="77777777" w:rsidTr="00CF5AEB">
        <w:trPr>
          <w:trHeight w:val="87"/>
          <w:jc w:val="center"/>
        </w:trPr>
        <w:tc>
          <w:tcPr>
            <w:tcW w:w="688" w:type="pct"/>
            <w:vMerge w:val="restart"/>
            <w:shd w:val="clear" w:color="auto" w:fill="auto"/>
            <w:vAlign w:val="center"/>
            <w:hideMark/>
          </w:tcPr>
          <w:p w14:paraId="3ED696C0" w14:textId="77777777" w:rsidR="00CF5AEB" w:rsidRDefault="00CF5AEB" w:rsidP="00505EA3">
            <w:pPr>
              <w:bidi w:val="0"/>
              <w:spacing w:after="0" w:line="240" w:lineRule="auto"/>
              <w:jc w:val="both"/>
              <w:rPr>
                <w:rFonts w:asciiTheme="majorBidi" w:hAnsiTheme="majorBidi" w:cstheme="majorBidi"/>
                <w:b/>
                <w:bCs/>
                <w:sz w:val="20"/>
                <w:szCs w:val="20"/>
              </w:rPr>
            </w:pPr>
          </w:p>
          <w:p w14:paraId="5684024B" w14:textId="77777777" w:rsidR="00CF5AEB" w:rsidRDefault="00CF5AEB" w:rsidP="00CF5AEB">
            <w:pPr>
              <w:bidi w:val="0"/>
              <w:spacing w:after="0" w:line="240" w:lineRule="auto"/>
              <w:jc w:val="both"/>
              <w:rPr>
                <w:rFonts w:asciiTheme="majorBidi" w:hAnsiTheme="majorBidi" w:cstheme="majorBidi"/>
                <w:b/>
                <w:bCs/>
                <w:sz w:val="20"/>
                <w:szCs w:val="20"/>
              </w:rPr>
            </w:pPr>
          </w:p>
          <w:p w14:paraId="5DA54C58" w14:textId="77777777" w:rsidR="00CF5AEB" w:rsidRPr="001A5200" w:rsidRDefault="00CF5AEB" w:rsidP="00CF5AE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DM</w:t>
            </w:r>
          </w:p>
        </w:tc>
        <w:tc>
          <w:tcPr>
            <w:tcW w:w="697" w:type="pct"/>
            <w:shd w:val="clear" w:color="auto" w:fill="auto"/>
            <w:vAlign w:val="center"/>
            <w:hideMark/>
          </w:tcPr>
          <w:p w14:paraId="296EB6BE" w14:textId="77777777" w:rsidR="00CF5AEB" w:rsidRPr="001A5200" w:rsidRDefault="00CF5AEB" w:rsidP="00CF5AE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Negative</w:t>
            </w:r>
          </w:p>
        </w:tc>
        <w:tc>
          <w:tcPr>
            <w:tcW w:w="339" w:type="pct"/>
            <w:shd w:val="clear" w:color="auto" w:fill="auto"/>
            <w:vAlign w:val="center"/>
          </w:tcPr>
          <w:p w14:paraId="17656AA5" w14:textId="3534FF8F"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16</w:t>
            </w:r>
          </w:p>
        </w:tc>
        <w:tc>
          <w:tcPr>
            <w:tcW w:w="524" w:type="pct"/>
            <w:shd w:val="clear" w:color="auto" w:fill="auto"/>
            <w:vAlign w:val="center"/>
          </w:tcPr>
          <w:p w14:paraId="28B90AB1" w14:textId="5400090C"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35.5</w:t>
            </w:r>
            <w:r w:rsidRPr="001A5200">
              <w:rPr>
                <w:rFonts w:asciiTheme="majorBidi" w:hAnsiTheme="majorBidi" w:cstheme="majorBidi"/>
                <w:sz w:val="20"/>
                <w:szCs w:val="20"/>
              </w:rPr>
              <w:t>%</w:t>
            </w:r>
          </w:p>
        </w:tc>
        <w:tc>
          <w:tcPr>
            <w:tcW w:w="417" w:type="pct"/>
            <w:shd w:val="clear" w:color="auto" w:fill="auto"/>
            <w:vAlign w:val="center"/>
          </w:tcPr>
          <w:p w14:paraId="26888A80" w14:textId="545681C0"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19</w:t>
            </w:r>
          </w:p>
        </w:tc>
        <w:tc>
          <w:tcPr>
            <w:tcW w:w="775" w:type="pct"/>
            <w:shd w:val="clear" w:color="auto" w:fill="auto"/>
            <w:vAlign w:val="center"/>
          </w:tcPr>
          <w:p w14:paraId="5F360C5E" w14:textId="22793215" w:rsidR="00CF5AEB" w:rsidRPr="001A5200" w:rsidRDefault="0035588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42.2</w:t>
            </w:r>
            <w:r w:rsidR="00CF5AEB" w:rsidRPr="001A5200">
              <w:rPr>
                <w:rFonts w:asciiTheme="majorBidi" w:hAnsiTheme="majorBidi" w:cstheme="majorBidi"/>
                <w:sz w:val="20"/>
                <w:szCs w:val="20"/>
              </w:rPr>
              <w:t>%</w:t>
            </w:r>
          </w:p>
        </w:tc>
        <w:tc>
          <w:tcPr>
            <w:tcW w:w="466" w:type="pct"/>
            <w:vMerge w:val="restart"/>
            <w:shd w:val="clear" w:color="auto" w:fill="auto"/>
            <w:vAlign w:val="center"/>
          </w:tcPr>
          <w:p w14:paraId="37855102" w14:textId="04135608" w:rsidR="00CF5AEB" w:rsidRPr="001A5200" w:rsidRDefault="00CF5AEB" w:rsidP="00CF5AEB">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xml:space="preserve">= </w:t>
            </w:r>
            <w:r>
              <w:rPr>
                <w:rFonts w:asciiTheme="majorBidi" w:hAnsiTheme="majorBidi" w:cstheme="majorBidi"/>
                <w:sz w:val="20"/>
                <w:szCs w:val="20"/>
              </w:rPr>
              <w:t>0.406</w:t>
            </w:r>
          </w:p>
        </w:tc>
        <w:tc>
          <w:tcPr>
            <w:tcW w:w="1094" w:type="pct"/>
            <w:vMerge w:val="restart"/>
            <w:shd w:val="clear" w:color="auto" w:fill="auto"/>
            <w:vAlign w:val="center"/>
          </w:tcPr>
          <w:p w14:paraId="07F280FA" w14:textId="4338AF11" w:rsidR="00CF5AEB" w:rsidRPr="001A5200" w:rsidRDefault="00CF5AEB" w:rsidP="00CF5AEB">
            <w:pPr>
              <w:bidi w:val="0"/>
              <w:spacing w:after="0" w:line="240" w:lineRule="auto"/>
              <w:jc w:val="center"/>
              <w:rPr>
                <w:rFonts w:asciiTheme="majorBidi" w:hAnsiTheme="majorBidi" w:cstheme="majorBidi"/>
                <w:b/>
                <w:bCs/>
                <w:sz w:val="20"/>
                <w:szCs w:val="20"/>
              </w:rPr>
            </w:pPr>
            <w:r w:rsidRPr="00CF5AEB">
              <w:rPr>
                <w:rFonts w:asciiTheme="majorBidi" w:hAnsiTheme="majorBidi" w:cstheme="majorBidi"/>
                <w:b/>
                <w:bCs/>
                <w:sz w:val="20"/>
                <w:szCs w:val="20"/>
              </w:rPr>
              <w:t>0.523</w:t>
            </w:r>
          </w:p>
        </w:tc>
      </w:tr>
      <w:tr w:rsidR="00CF5AEB" w:rsidRPr="001A5200" w14:paraId="1A0D49DD" w14:textId="77777777" w:rsidTr="00CF5AEB">
        <w:trPr>
          <w:trHeight w:val="63"/>
          <w:jc w:val="center"/>
        </w:trPr>
        <w:tc>
          <w:tcPr>
            <w:tcW w:w="688" w:type="pct"/>
            <w:vMerge/>
            <w:shd w:val="clear" w:color="auto" w:fill="auto"/>
            <w:vAlign w:val="center"/>
            <w:hideMark/>
          </w:tcPr>
          <w:p w14:paraId="32744E4D" w14:textId="77777777" w:rsidR="00CF5AEB" w:rsidRPr="001A5200" w:rsidRDefault="00CF5AEB" w:rsidP="00505EA3">
            <w:pPr>
              <w:bidi w:val="0"/>
              <w:spacing w:after="0" w:line="240" w:lineRule="auto"/>
              <w:jc w:val="both"/>
              <w:rPr>
                <w:rFonts w:asciiTheme="majorBidi" w:hAnsiTheme="majorBidi" w:cstheme="majorBidi"/>
                <w:b/>
                <w:bCs/>
                <w:sz w:val="20"/>
                <w:szCs w:val="20"/>
              </w:rPr>
            </w:pPr>
          </w:p>
        </w:tc>
        <w:tc>
          <w:tcPr>
            <w:tcW w:w="697" w:type="pct"/>
            <w:shd w:val="clear" w:color="auto" w:fill="auto"/>
            <w:vAlign w:val="center"/>
            <w:hideMark/>
          </w:tcPr>
          <w:p w14:paraId="4C4CF16C" w14:textId="77777777" w:rsidR="00CF5AEB" w:rsidRDefault="00CF5AEB" w:rsidP="00505EA3">
            <w:pPr>
              <w:bidi w:val="0"/>
              <w:spacing w:after="0" w:line="240" w:lineRule="auto"/>
              <w:jc w:val="both"/>
              <w:rPr>
                <w:rFonts w:asciiTheme="majorBidi" w:hAnsiTheme="majorBidi" w:cstheme="majorBidi"/>
                <w:b/>
                <w:bCs/>
                <w:sz w:val="20"/>
                <w:szCs w:val="20"/>
              </w:rPr>
            </w:pPr>
          </w:p>
          <w:p w14:paraId="32ECBE02" w14:textId="77777777" w:rsidR="00CF5AEB" w:rsidRPr="001A5200" w:rsidRDefault="00CF5AEB" w:rsidP="00CF5AE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Positive</w:t>
            </w:r>
          </w:p>
        </w:tc>
        <w:tc>
          <w:tcPr>
            <w:tcW w:w="339" w:type="pct"/>
            <w:shd w:val="clear" w:color="auto" w:fill="auto"/>
            <w:vAlign w:val="center"/>
          </w:tcPr>
          <w:p w14:paraId="3F422AFE" w14:textId="68A79BEB" w:rsidR="00CF5AEB" w:rsidRPr="001A5200" w:rsidRDefault="00CF5AEB" w:rsidP="00CF5AE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22 </w:t>
            </w:r>
          </w:p>
        </w:tc>
        <w:tc>
          <w:tcPr>
            <w:tcW w:w="524" w:type="pct"/>
            <w:shd w:val="clear" w:color="auto" w:fill="auto"/>
            <w:vAlign w:val="center"/>
          </w:tcPr>
          <w:p w14:paraId="68782B10" w14:textId="56E20C04"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48.8</w:t>
            </w:r>
            <w:r w:rsidRPr="001A5200">
              <w:rPr>
                <w:rFonts w:asciiTheme="majorBidi" w:hAnsiTheme="majorBidi" w:cstheme="majorBidi"/>
                <w:sz w:val="20"/>
                <w:szCs w:val="20"/>
              </w:rPr>
              <w:t>%</w:t>
            </w:r>
          </w:p>
        </w:tc>
        <w:tc>
          <w:tcPr>
            <w:tcW w:w="417" w:type="pct"/>
            <w:shd w:val="clear" w:color="auto" w:fill="auto"/>
            <w:vAlign w:val="center"/>
          </w:tcPr>
          <w:p w14:paraId="4CB75D54" w14:textId="1073D2D7"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19</w:t>
            </w:r>
          </w:p>
        </w:tc>
        <w:tc>
          <w:tcPr>
            <w:tcW w:w="775" w:type="pct"/>
            <w:shd w:val="clear" w:color="auto" w:fill="auto"/>
            <w:vAlign w:val="center"/>
          </w:tcPr>
          <w:p w14:paraId="31843635" w14:textId="6E4AC0CD"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42.2</w:t>
            </w:r>
            <w:r w:rsidRPr="001A5200">
              <w:rPr>
                <w:rFonts w:asciiTheme="majorBidi" w:hAnsiTheme="majorBidi" w:cstheme="majorBidi"/>
                <w:sz w:val="20"/>
                <w:szCs w:val="20"/>
              </w:rPr>
              <w:t>%</w:t>
            </w:r>
          </w:p>
        </w:tc>
        <w:tc>
          <w:tcPr>
            <w:tcW w:w="466" w:type="pct"/>
            <w:vMerge/>
            <w:shd w:val="clear" w:color="auto" w:fill="auto"/>
            <w:vAlign w:val="center"/>
          </w:tcPr>
          <w:p w14:paraId="38206F2A" w14:textId="77777777" w:rsidR="00CF5AEB" w:rsidRPr="001A5200" w:rsidRDefault="00CF5AEB" w:rsidP="00505EA3">
            <w:pPr>
              <w:bidi w:val="0"/>
              <w:spacing w:after="0" w:line="240" w:lineRule="auto"/>
              <w:jc w:val="center"/>
              <w:rPr>
                <w:rFonts w:asciiTheme="majorBidi" w:hAnsiTheme="majorBidi" w:cstheme="majorBidi"/>
                <w:sz w:val="20"/>
                <w:szCs w:val="20"/>
              </w:rPr>
            </w:pPr>
          </w:p>
        </w:tc>
        <w:tc>
          <w:tcPr>
            <w:tcW w:w="1094" w:type="pct"/>
            <w:vMerge/>
            <w:shd w:val="clear" w:color="auto" w:fill="auto"/>
          </w:tcPr>
          <w:p w14:paraId="4F5564EA" w14:textId="77777777" w:rsidR="00CF5AEB" w:rsidRPr="001A5200" w:rsidRDefault="00CF5AEB" w:rsidP="00505EA3">
            <w:pPr>
              <w:bidi w:val="0"/>
              <w:spacing w:after="0" w:line="240" w:lineRule="auto"/>
              <w:jc w:val="center"/>
              <w:rPr>
                <w:rFonts w:asciiTheme="majorBidi" w:hAnsiTheme="majorBidi" w:cstheme="majorBidi"/>
                <w:sz w:val="20"/>
                <w:szCs w:val="20"/>
              </w:rPr>
            </w:pPr>
          </w:p>
        </w:tc>
      </w:tr>
      <w:tr w:rsidR="00CF5AEB" w:rsidRPr="001A5200" w14:paraId="79B302BC" w14:textId="77777777" w:rsidTr="00CF5AEB">
        <w:trPr>
          <w:trHeight w:val="87"/>
          <w:jc w:val="center"/>
        </w:trPr>
        <w:tc>
          <w:tcPr>
            <w:tcW w:w="688" w:type="pct"/>
            <w:vMerge w:val="restart"/>
            <w:shd w:val="clear" w:color="auto" w:fill="auto"/>
            <w:vAlign w:val="center"/>
            <w:hideMark/>
          </w:tcPr>
          <w:p w14:paraId="2416D302" w14:textId="77777777" w:rsidR="0035588B" w:rsidRDefault="0035588B" w:rsidP="00505EA3">
            <w:pPr>
              <w:bidi w:val="0"/>
              <w:spacing w:after="0" w:line="240" w:lineRule="auto"/>
              <w:jc w:val="both"/>
              <w:rPr>
                <w:rFonts w:asciiTheme="majorBidi" w:hAnsiTheme="majorBidi" w:cstheme="majorBidi"/>
                <w:b/>
                <w:bCs/>
                <w:sz w:val="20"/>
                <w:szCs w:val="20"/>
              </w:rPr>
            </w:pPr>
          </w:p>
          <w:p w14:paraId="0AD7697F" w14:textId="77777777" w:rsidR="00CF5AEB" w:rsidRPr="001A5200" w:rsidRDefault="00CF5AEB" w:rsidP="0035588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HTN</w:t>
            </w:r>
          </w:p>
        </w:tc>
        <w:tc>
          <w:tcPr>
            <w:tcW w:w="697" w:type="pct"/>
            <w:shd w:val="clear" w:color="auto" w:fill="auto"/>
            <w:vAlign w:val="center"/>
            <w:hideMark/>
          </w:tcPr>
          <w:p w14:paraId="04F6E82F" w14:textId="77777777" w:rsidR="00CF5AEB" w:rsidRPr="001A5200" w:rsidRDefault="00CF5AEB"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Negative</w:t>
            </w:r>
          </w:p>
        </w:tc>
        <w:tc>
          <w:tcPr>
            <w:tcW w:w="339" w:type="pct"/>
            <w:shd w:val="clear" w:color="auto" w:fill="auto"/>
            <w:vAlign w:val="center"/>
          </w:tcPr>
          <w:p w14:paraId="0F360BA6" w14:textId="6E5F43A6"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23</w:t>
            </w:r>
          </w:p>
        </w:tc>
        <w:tc>
          <w:tcPr>
            <w:tcW w:w="524" w:type="pct"/>
            <w:shd w:val="clear" w:color="auto" w:fill="auto"/>
            <w:vAlign w:val="center"/>
          </w:tcPr>
          <w:p w14:paraId="2769981A" w14:textId="749ABC81"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51.1</w:t>
            </w:r>
            <w:r w:rsidRPr="001A5200">
              <w:rPr>
                <w:rFonts w:asciiTheme="majorBidi" w:hAnsiTheme="majorBidi" w:cstheme="majorBidi"/>
                <w:sz w:val="20"/>
                <w:szCs w:val="20"/>
              </w:rPr>
              <w:t>%</w:t>
            </w:r>
          </w:p>
        </w:tc>
        <w:tc>
          <w:tcPr>
            <w:tcW w:w="417" w:type="pct"/>
            <w:shd w:val="clear" w:color="auto" w:fill="auto"/>
            <w:vAlign w:val="center"/>
          </w:tcPr>
          <w:p w14:paraId="5AEB97E7" w14:textId="2C78B396"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26</w:t>
            </w:r>
          </w:p>
        </w:tc>
        <w:tc>
          <w:tcPr>
            <w:tcW w:w="775" w:type="pct"/>
            <w:shd w:val="clear" w:color="auto" w:fill="auto"/>
            <w:vAlign w:val="center"/>
          </w:tcPr>
          <w:p w14:paraId="1B2F572E" w14:textId="7B08834B" w:rsidR="00CF5AEB" w:rsidRPr="001A5200" w:rsidRDefault="00CF5AEB" w:rsidP="00505EA3">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57.7</w:t>
            </w:r>
            <w:r w:rsidRPr="001A5200">
              <w:rPr>
                <w:rFonts w:asciiTheme="majorBidi" w:hAnsiTheme="majorBidi" w:cstheme="majorBidi"/>
                <w:sz w:val="20"/>
                <w:szCs w:val="20"/>
              </w:rPr>
              <w:t>%</w:t>
            </w:r>
          </w:p>
        </w:tc>
        <w:tc>
          <w:tcPr>
            <w:tcW w:w="466" w:type="pct"/>
            <w:vMerge w:val="restart"/>
            <w:shd w:val="clear" w:color="auto" w:fill="auto"/>
            <w:vAlign w:val="center"/>
          </w:tcPr>
          <w:p w14:paraId="2E507670" w14:textId="77777777" w:rsidR="0035588B" w:rsidRDefault="0035588B" w:rsidP="00505EA3">
            <w:pPr>
              <w:bidi w:val="0"/>
              <w:spacing w:after="0" w:line="240" w:lineRule="auto"/>
              <w:jc w:val="center"/>
              <w:rPr>
                <w:rFonts w:asciiTheme="majorBidi" w:hAnsiTheme="majorBidi" w:cstheme="majorBidi"/>
                <w:sz w:val="20"/>
                <w:szCs w:val="20"/>
              </w:rPr>
            </w:pPr>
          </w:p>
          <w:p w14:paraId="5FDC7E6D" w14:textId="77777777" w:rsidR="0035588B" w:rsidRDefault="0035588B" w:rsidP="0035588B">
            <w:pPr>
              <w:bidi w:val="0"/>
              <w:spacing w:after="0" w:line="240" w:lineRule="auto"/>
              <w:jc w:val="center"/>
              <w:rPr>
                <w:rFonts w:asciiTheme="majorBidi" w:hAnsiTheme="majorBidi" w:cstheme="majorBidi"/>
                <w:sz w:val="20"/>
                <w:szCs w:val="20"/>
              </w:rPr>
            </w:pPr>
          </w:p>
          <w:p w14:paraId="02304686" w14:textId="6F7977A1" w:rsidR="00CF5AEB" w:rsidRPr="001A5200" w:rsidRDefault="00CF5AEB" w:rsidP="0035588B">
            <w:pPr>
              <w:bidi w:val="0"/>
              <w:spacing w:after="0" w:line="240" w:lineRule="auto"/>
              <w:jc w:val="center"/>
              <w:rPr>
                <w:rFonts w:asciiTheme="majorBidi" w:hAnsiTheme="majorBidi" w:cstheme="majorBidi"/>
                <w:sz w:val="20"/>
                <w:szCs w:val="20"/>
              </w:rPr>
            </w:pPr>
            <w:r w:rsidRPr="001A5200">
              <w:rPr>
                <w:rFonts w:asciiTheme="majorBidi" w:hAnsiTheme="majorBidi" w:cstheme="majorBidi"/>
                <w:sz w:val="20"/>
                <w:szCs w:val="20"/>
              </w:rPr>
              <w:t>X</w:t>
            </w:r>
            <w:r w:rsidRPr="001A5200">
              <w:rPr>
                <w:rFonts w:asciiTheme="majorBidi" w:hAnsiTheme="majorBidi" w:cstheme="majorBidi"/>
                <w:sz w:val="20"/>
                <w:szCs w:val="20"/>
                <w:vertAlign w:val="superscript"/>
              </w:rPr>
              <w:t>2</w:t>
            </w:r>
            <w:r w:rsidRPr="001A5200">
              <w:rPr>
                <w:rFonts w:asciiTheme="majorBidi" w:hAnsiTheme="majorBidi" w:cstheme="majorBidi"/>
                <w:sz w:val="20"/>
                <w:szCs w:val="20"/>
              </w:rPr>
              <w:t xml:space="preserve">= </w:t>
            </w:r>
            <w:r w:rsidR="0035588B" w:rsidRPr="0035588B">
              <w:rPr>
                <w:rFonts w:asciiTheme="majorBidi" w:hAnsiTheme="majorBidi" w:cstheme="majorBidi"/>
                <w:sz w:val="20"/>
                <w:szCs w:val="20"/>
              </w:rPr>
              <w:t>0.833</w:t>
            </w:r>
          </w:p>
        </w:tc>
        <w:tc>
          <w:tcPr>
            <w:tcW w:w="1094" w:type="pct"/>
            <w:vMerge w:val="restart"/>
            <w:shd w:val="clear" w:color="auto" w:fill="auto"/>
            <w:vAlign w:val="center"/>
          </w:tcPr>
          <w:p w14:paraId="4C94A6DB" w14:textId="1AA9C45A" w:rsidR="00CF5AEB" w:rsidRPr="001A5200" w:rsidRDefault="00CF5AEB" w:rsidP="00505EA3">
            <w:pPr>
              <w:bidi w:val="0"/>
              <w:spacing w:after="0" w:line="240" w:lineRule="auto"/>
              <w:jc w:val="center"/>
              <w:rPr>
                <w:rFonts w:asciiTheme="majorBidi" w:hAnsiTheme="majorBidi" w:cstheme="majorBidi"/>
                <w:bCs/>
                <w:sz w:val="20"/>
                <w:szCs w:val="20"/>
              </w:rPr>
            </w:pPr>
          </w:p>
          <w:p w14:paraId="7DD1EE61" w14:textId="164D7896" w:rsidR="00CF5AEB" w:rsidRPr="001A5200" w:rsidRDefault="0035588B" w:rsidP="0035588B">
            <w:pPr>
              <w:bidi w:val="0"/>
              <w:spacing w:after="0" w:line="240" w:lineRule="auto"/>
              <w:jc w:val="center"/>
              <w:rPr>
                <w:rFonts w:asciiTheme="majorBidi" w:hAnsiTheme="majorBidi" w:cstheme="majorBidi"/>
                <w:b/>
                <w:bCs/>
                <w:sz w:val="20"/>
                <w:szCs w:val="20"/>
              </w:rPr>
            </w:pPr>
            <w:r w:rsidRPr="0035588B">
              <w:rPr>
                <w:rFonts w:asciiTheme="majorBidi" w:hAnsiTheme="majorBidi" w:cstheme="majorBidi"/>
                <w:b/>
                <w:bCs/>
                <w:sz w:val="20"/>
                <w:szCs w:val="20"/>
              </w:rPr>
              <w:t>0.833</w:t>
            </w:r>
          </w:p>
        </w:tc>
      </w:tr>
      <w:tr w:rsidR="00CF5AEB" w:rsidRPr="001A5200" w14:paraId="130E3121" w14:textId="77777777" w:rsidTr="00CF5AEB">
        <w:trPr>
          <w:trHeight w:val="108"/>
          <w:jc w:val="center"/>
        </w:trPr>
        <w:tc>
          <w:tcPr>
            <w:tcW w:w="688" w:type="pct"/>
            <w:vMerge/>
            <w:shd w:val="clear" w:color="auto" w:fill="auto"/>
            <w:vAlign w:val="center"/>
            <w:hideMark/>
          </w:tcPr>
          <w:p w14:paraId="637CDE1B" w14:textId="77777777" w:rsidR="00CF5AEB" w:rsidRPr="001A5200" w:rsidRDefault="00CF5AEB" w:rsidP="00505EA3">
            <w:pPr>
              <w:bidi w:val="0"/>
              <w:spacing w:after="0" w:line="240" w:lineRule="auto"/>
              <w:jc w:val="both"/>
              <w:rPr>
                <w:rFonts w:asciiTheme="majorBidi" w:hAnsiTheme="majorBidi" w:cstheme="majorBidi"/>
                <w:b/>
                <w:bCs/>
                <w:sz w:val="20"/>
                <w:szCs w:val="20"/>
              </w:rPr>
            </w:pPr>
          </w:p>
        </w:tc>
        <w:tc>
          <w:tcPr>
            <w:tcW w:w="697" w:type="pct"/>
            <w:shd w:val="clear" w:color="auto" w:fill="auto"/>
            <w:vAlign w:val="center"/>
            <w:hideMark/>
          </w:tcPr>
          <w:p w14:paraId="46256815" w14:textId="77777777" w:rsidR="0035588B" w:rsidRDefault="0035588B" w:rsidP="00505EA3">
            <w:pPr>
              <w:bidi w:val="0"/>
              <w:spacing w:after="0" w:line="240" w:lineRule="auto"/>
              <w:jc w:val="both"/>
              <w:rPr>
                <w:rFonts w:asciiTheme="majorBidi" w:hAnsiTheme="majorBidi" w:cstheme="majorBidi"/>
                <w:b/>
                <w:bCs/>
                <w:sz w:val="20"/>
                <w:szCs w:val="20"/>
              </w:rPr>
            </w:pPr>
          </w:p>
          <w:p w14:paraId="3BD8CA5D" w14:textId="77777777" w:rsidR="00CF5AEB" w:rsidRDefault="00CF5AEB" w:rsidP="0035588B">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Positive</w:t>
            </w:r>
          </w:p>
          <w:p w14:paraId="48619CBB" w14:textId="2FE02CDA" w:rsidR="0035588B" w:rsidRPr="001A5200" w:rsidRDefault="0035588B" w:rsidP="0035588B">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Negative</w:t>
            </w:r>
          </w:p>
        </w:tc>
        <w:tc>
          <w:tcPr>
            <w:tcW w:w="339" w:type="pct"/>
            <w:shd w:val="clear" w:color="auto" w:fill="auto"/>
            <w:vAlign w:val="center"/>
          </w:tcPr>
          <w:p w14:paraId="5C7E6E88" w14:textId="77777777" w:rsidR="0035588B" w:rsidRDefault="0035588B" w:rsidP="00505EA3">
            <w:pPr>
              <w:bidi w:val="0"/>
              <w:spacing w:after="0" w:line="240" w:lineRule="auto"/>
              <w:jc w:val="center"/>
              <w:rPr>
                <w:rFonts w:asciiTheme="majorBidi" w:hAnsiTheme="majorBidi" w:cstheme="majorBidi"/>
                <w:sz w:val="20"/>
                <w:szCs w:val="20"/>
              </w:rPr>
            </w:pPr>
          </w:p>
          <w:p w14:paraId="5A45202B" w14:textId="77777777"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23</w:t>
            </w:r>
          </w:p>
          <w:p w14:paraId="63C6937D" w14:textId="1A08BE6F"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22</w:t>
            </w:r>
          </w:p>
        </w:tc>
        <w:tc>
          <w:tcPr>
            <w:tcW w:w="524" w:type="pct"/>
            <w:shd w:val="clear" w:color="auto" w:fill="auto"/>
            <w:vAlign w:val="center"/>
          </w:tcPr>
          <w:p w14:paraId="589BED08" w14:textId="77777777" w:rsidR="0035588B" w:rsidRDefault="0035588B" w:rsidP="00505EA3">
            <w:pPr>
              <w:bidi w:val="0"/>
              <w:spacing w:after="0" w:line="240" w:lineRule="auto"/>
              <w:jc w:val="center"/>
              <w:rPr>
                <w:rFonts w:asciiTheme="majorBidi" w:hAnsiTheme="majorBidi" w:cstheme="majorBidi"/>
                <w:sz w:val="20"/>
                <w:szCs w:val="20"/>
              </w:rPr>
            </w:pPr>
          </w:p>
          <w:p w14:paraId="015DFE93" w14:textId="0B0E33F5"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51.1</w:t>
            </w:r>
            <w:r w:rsidR="00CF5AEB" w:rsidRPr="001A5200">
              <w:rPr>
                <w:rFonts w:asciiTheme="majorBidi" w:hAnsiTheme="majorBidi" w:cstheme="majorBidi"/>
                <w:sz w:val="20"/>
                <w:szCs w:val="20"/>
              </w:rPr>
              <w:t>%</w:t>
            </w:r>
          </w:p>
          <w:p w14:paraId="54150F48" w14:textId="170291B1"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48.8%</w:t>
            </w:r>
          </w:p>
        </w:tc>
        <w:tc>
          <w:tcPr>
            <w:tcW w:w="417" w:type="pct"/>
            <w:shd w:val="clear" w:color="auto" w:fill="auto"/>
            <w:vAlign w:val="center"/>
          </w:tcPr>
          <w:p w14:paraId="14DB4A5C" w14:textId="77777777" w:rsidR="0035588B" w:rsidRDefault="0035588B" w:rsidP="00505EA3">
            <w:pPr>
              <w:bidi w:val="0"/>
              <w:spacing w:after="0" w:line="240" w:lineRule="auto"/>
              <w:jc w:val="center"/>
              <w:rPr>
                <w:rFonts w:asciiTheme="majorBidi" w:hAnsiTheme="majorBidi" w:cstheme="majorBidi"/>
                <w:sz w:val="20"/>
                <w:szCs w:val="20"/>
              </w:rPr>
            </w:pPr>
          </w:p>
          <w:p w14:paraId="0828D288" w14:textId="77777777"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21</w:t>
            </w:r>
          </w:p>
          <w:p w14:paraId="0E1FBC5B" w14:textId="19E582E5"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24</w:t>
            </w:r>
          </w:p>
        </w:tc>
        <w:tc>
          <w:tcPr>
            <w:tcW w:w="775" w:type="pct"/>
            <w:shd w:val="clear" w:color="auto" w:fill="auto"/>
            <w:vAlign w:val="center"/>
          </w:tcPr>
          <w:p w14:paraId="34DCEC93" w14:textId="77777777" w:rsidR="0035588B" w:rsidRDefault="0035588B" w:rsidP="00505EA3">
            <w:pPr>
              <w:bidi w:val="0"/>
              <w:spacing w:after="0" w:line="240" w:lineRule="auto"/>
              <w:jc w:val="center"/>
              <w:rPr>
                <w:rFonts w:asciiTheme="majorBidi" w:hAnsiTheme="majorBidi" w:cstheme="majorBidi"/>
                <w:sz w:val="20"/>
                <w:szCs w:val="20"/>
              </w:rPr>
            </w:pPr>
          </w:p>
          <w:p w14:paraId="1A6C82DF" w14:textId="2BA32F0B" w:rsidR="0035588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46.6%</w:t>
            </w:r>
          </w:p>
          <w:p w14:paraId="7289AEAC" w14:textId="5EBA8714" w:rsidR="00CF5AE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53.3</w:t>
            </w:r>
            <w:r w:rsidR="00CF5AEB" w:rsidRPr="001A5200">
              <w:rPr>
                <w:rFonts w:asciiTheme="majorBidi" w:hAnsiTheme="majorBidi" w:cstheme="majorBidi"/>
                <w:sz w:val="20"/>
                <w:szCs w:val="20"/>
              </w:rPr>
              <w:t>%</w:t>
            </w:r>
          </w:p>
        </w:tc>
        <w:tc>
          <w:tcPr>
            <w:tcW w:w="466" w:type="pct"/>
            <w:vMerge/>
            <w:shd w:val="clear" w:color="auto" w:fill="auto"/>
            <w:vAlign w:val="center"/>
          </w:tcPr>
          <w:p w14:paraId="26FEDE7E" w14:textId="77777777" w:rsidR="00CF5AEB" w:rsidRPr="001A5200" w:rsidRDefault="00CF5AEB" w:rsidP="00505EA3">
            <w:pPr>
              <w:bidi w:val="0"/>
              <w:spacing w:after="0" w:line="240" w:lineRule="auto"/>
              <w:jc w:val="center"/>
              <w:rPr>
                <w:rFonts w:asciiTheme="majorBidi" w:hAnsiTheme="majorBidi" w:cstheme="majorBidi"/>
                <w:sz w:val="20"/>
                <w:szCs w:val="20"/>
              </w:rPr>
            </w:pPr>
          </w:p>
        </w:tc>
        <w:tc>
          <w:tcPr>
            <w:tcW w:w="1094" w:type="pct"/>
            <w:vMerge/>
            <w:shd w:val="clear" w:color="auto" w:fill="auto"/>
          </w:tcPr>
          <w:p w14:paraId="1AAA51BB" w14:textId="77777777" w:rsidR="00CF5AEB" w:rsidRPr="001A5200" w:rsidRDefault="00CF5AEB" w:rsidP="00505EA3">
            <w:pPr>
              <w:bidi w:val="0"/>
              <w:spacing w:after="0" w:line="240" w:lineRule="auto"/>
              <w:jc w:val="center"/>
              <w:rPr>
                <w:rFonts w:asciiTheme="majorBidi" w:hAnsiTheme="majorBidi" w:cstheme="majorBidi"/>
                <w:sz w:val="20"/>
                <w:szCs w:val="20"/>
              </w:rPr>
            </w:pPr>
          </w:p>
        </w:tc>
      </w:tr>
      <w:tr w:rsidR="00CF5AEB" w:rsidRPr="001A5200" w14:paraId="43F2B090" w14:textId="77777777" w:rsidTr="00CF5AEB">
        <w:trPr>
          <w:trHeight w:val="108"/>
          <w:jc w:val="center"/>
        </w:trPr>
        <w:tc>
          <w:tcPr>
            <w:tcW w:w="688" w:type="pct"/>
            <w:shd w:val="clear" w:color="auto" w:fill="auto"/>
            <w:vAlign w:val="center"/>
          </w:tcPr>
          <w:p w14:paraId="0EE1BAF7" w14:textId="77777777" w:rsidR="0035588B" w:rsidRDefault="0035588B" w:rsidP="00505EA3">
            <w:pPr>
              <w:bidi w:val="0"/>
              <w:spacing w:after="0" w:line="240" w:lineRule="auto"/>
              <w:jc w:val="both"/>
              <w:rPr>
                <w:rFonts w:asciiTheme="majorBidi" w:hAnsiTheme="majorBidi" w:cstheme="majorBidi"/>
                <w:b/>
                <w:bCs/>
                <w:sz w:val="20"/>
                <w:szCs w:val="20"/>
              </w:rPr>
            </w:pPr>
          </w:p>
          <w:p w14:paraId="1672F03D" w14:textId="212169D3" w:rsidR="00CF5AEB" w:rsidRPr="001A5200" w:rsidRDefault="00CF5AEB" w:rsidP="0035588B">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Family History</w:t>
            </w:r>
          </w:p>
        </w:tc>
        <w:tc>
          <w:tcPr>
            <w:tcW w:w="697" w:type="pct"/>
            <w:shd w:val="clear" w:color="auto" w:fill="auto"/>
            <w:vAlign w:val="center"/>
          </w:tcPr>
          <w:p w14:paraId="727508DB" w14:textId="77777777" w:rsidR="0035588B" w:rsidRDefault="0035588B" w:rsidP="0035588B">
            <w:pPr>
              <w:bidi w:val="0"/>
              <w:spacing w:after="0" w:line="240" w:lineRule="auto"/>
              <w:jc w:val="both"/>
              <w:rPr>
                <w:rFonts w:asciiTheme="majorBidi" w:hAnsiTheme="majorBidi" w:cstheme="majorBidi"/>
                <w:b/>
                <w:bCs/>
                <w:sz w:val="20"/>
                <w:szCs w:val="20"/>
              </w:rPr>
            </w:pPr>
          </w:p>
          <w:p w14:paraId="1B8B6839" w14:textId="77777777" w:rsidR="0035588B" w:rsidRPr="0035588B" w:rsidRDefault="0035588B" w:rsidP="0035588B">
            <w:pPr>
              <w:bidi w:val="0"/>
              <w:spacing w:after="0" w:line="240" w:lineRule="auto"/>
              <w:jc w:val="both"/>
              <w:rPr>
                <w:rFonts w:asciiTheme="majorBidi" w:hAnsiTheme="majorBidi" w:cstheme="majorBidi"/>
                <w:b/>
                <w:bCs/>
                <w:sz w:val="20"/>
                <w:szCs w:val="20"/>
              </w:rPr>
            </w:pPr>
            <w:r w:rsidRPr="0035588B">
              <w:rPr>
                <w:rFonts w:asciiTheme="majorBidi" w:hAnsiTheme="majorBidi" w:cstheme="majorBidi"/>
                <w:b/>
                <w:bCs/>
                <w:sz w:val="20"/>
                <w:szCs w:val="20"/>
              </w:rPr>
              <w:t>Positive</w:t>
            </w:r>
          </w:p>
          <w:p w14:paraId="52771C3E" w14:textId="4E2A1A43" w:rsidR="00CF5AEB" w:rsidRPr="001A5200" w:rsidRDefault="0035588B" w:rsidP="0035588B">
            <w:pPr>
              <w:bidi w:val="0"/>
              <w:spacing w:after="0" w:line="240" w:lineRule="auto"/>
              <w:jc w:val="both"/>
              <w:rPr>
                <w:rFonts w:asciiTheme="majorBidi" w:hAnsiTheme="majorBidi" w:cstheme="majorBidi"/>
                <w:b/>
                <w:bCs/>
                <w:sz w:val="20"/>
                <w:szCs w:val="20"/>
              </w:rPr>
            </w:pPr>
            <w:r w:rsidRPr="0035588B">
              <w:rPr>
                <w:rFonts w:asciiTheme="majorBidi" w:hAnsiTheme="majorBidi" w:cstheme="majorBidi"/>
                <w:b/>
                <w:bCs/>
                <w:sz w:val="20"/>
                <w:szCs w:val="20"/>
              </w:rPr>
              <w:t>Negative</w:t>
            </w:r>
          </w:p>
        </w:tc>
        <w:tc>
          <w:tcPr>
            <w:tcW w:w="339" w:type="pct"/>
            <w:shd w:val="clear" w:color="auto" w:fill="auto"/>
            <w:vAlign w:val="center"/>
          </w:tcPr>
          <w:p w14:paraId="55144B8E" w14:textId="77777777" w:rsidR="0035588B" w:rsidRDefault="0035588B" w:rsidP="00505EA3">
            <w:pPr>
              <w:bidi w:val="0"/>
              <w:spacing w:after="0" w:line="240" w:lineRule="auto"/>
              <w:jc w:val="center"/>
              <w:rPr>
                <w:rFonts w:asciiTheme="majorBidi" w:hAnsiTheme="majorBidi" w:cstheme="majorBidi"/>
                <w:sz w:val="20"/>
                <w:szCs w:val="20"/>
              </w:rPr>
            </w:pPr>
          </w:p>
          <w:p w14:paraId="67943214" w14:textId="77777777"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15</w:t>
            </w:r>
          </w:p>
          <w:p w14:paraId="3E834653" w14:textId="3B520846"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30</w:t>
            </w:r>
          </w:p>
        </w:tc>
        <w:tc>
          <w:tcPr>
            <w:tcW w:w="524" w:type="pct"/>
            <w:shd w:val="clear" w:color="auto" w:fill="auto"/>
            <w:vAlign w:val="center"/>
          </w:tcPr>
          <w:p w14:paraId="06A37688" w14:textId="77777777" w:rsidR="00CF5AEB" w:rsidRDefault="00CF5AEB" w:rsidP="00505EA3">
            <w:pPr>
              <w:bidi w:val="0"/>
              <w:spacing w:after="0" w:line="240" w:lineRule="auto"/>
              <w:jc w:val="center"/>
              <w:rPr>
                <w:rFonts w:asciiTheme="majorBidi" w:hAnsiTheme="majorBidi" w:cstheme="majorBidi"/>
                <w:sz w:val="20"/>
                <w:szCs w:val="20"/>
              </w:rPr>
            </w:pPr>
          </w:p>
          <w:p w14:paraId="7D7AB18B" w14:textId="22595F78" w:rsidR="0035588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33.3%</w:t>
            </w:r>
          </w:p>
          <w:p w14:paraId="4D2DA2C9" w14:textId="4FC2C133"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66.6%</w:t>
            </w:r>
          </w:p>
        </w:tc>
        <w:tc>
          <w:tcPr>
            <w:tcW w:w="417" w:type="pct"/>
            <w:shd w:val="clear" w:color="auto" w:fill="auto"/>
            <w:vAlign w:val="center"/>
          </w:tcPr>
          <w:p w14:paraId="081E70E3" w14:textId="77777777" w:rsidR="0035588B" w:rsidRDefault="0035588B" w:rsidP="00505EA3">
            <w:pPr>
              <w:bidi w:val="0"/>
              <w:spacing w:after="0" w:line="240" w:lineRule="auto"/>
              <w:jc w:val="center"/>
              <w:rPr>
                <w:rFonts w:asciiTheme="majorBidi" w:hAnsiTheme="majorBidi" w:cstheme="majorBidi"/>
                <w:sz w:val="20"/>
                <w:szCs w:val="20"/>
              </w:rPr>
            </w:pPr>
          </w:p>
          <w:p w14:paraId="59B03032" w14:textId="77777777"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6</w:t>
            </w:r>
          </w:p>
          <w:p w14:paraId="6ACAE18B" w14:textId="46B0CFBD"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39</w:t>
            </w:r>
          </w:p>
        </w:tc>
        <w:tc>
          <w:tcPr>
            <w:tcW w:w="775" w:type="pct"/>
            <w:shd w:val="clear" w:color="auto" w:fill="auto"/>
            <w:vAlign w:val="center"/>
          </w:tcPr>
          <w:p w14:paraId="4CB35F73" w14:textId="77777777" w:rsidR="0035588B" w:rsidRDefault="0035588B" w:rsidP="00505EA3">
            <w:pPr>
              <w:bidi w:val="0"/>
              <w:spacing w:after="0" w:line="240" w:lineRule="auto"/>
              <w:jc w:val="center"/>
              <w:rPr>
                <w:rFonts w:asciiTheme="majorBidi" w:hAnsiTheme="majorBidi" w:cstheme="majorBidi"/>
                <w:sz w:val="20"/>
                <w:szCs w:val="20"/>
              </w:rPr>
            </w:pPr>
          </w:p>
          <w:p w14:paraId="6D09C824" w14:textId="77777777" w:rsidR="00CF5AEB"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13.3%</w:t>
            </w:r>
          </w:p>
          <w:p w14:paraId="043B7A40" w14:textId="354900E0" w:rsidR="0035588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86.6%</w:t>
            </w:r>
          </w:p>
        </w:tc>
        <w:tc>
          <w:tcPr>
            <w:tcW w:w="466" w:type="pct"/>
            <w:shd w:val="clear" w:color="auto" w:fill="auto"/>
            <w:vAlign w:val="center"/>
          </w:tcPr>
          <w:p w14:paraId="78CD9A53" w14:textId="7E5D0F3A" w:rsidR="00CF5AEB" w:rsidRPr="001A5200" w:rsidRDefault="0035588B" w:rsidP="0035588B">
            <w:pPr>
              <w:bidi w:val="0"/>
              <w:spacing w:after="0" w:line="240" w:lineRule="auto"/>
              <w:jc w:val="center"/>
              <w:rPr>
                <w:rFonts w:asciiTheme="majorBidi" w:hAnsiTheme="majorBidi" w:cstheme="majorBidi"/>
                <w:sz w:val="20"/>
                <w:szCs w:val="20"/>
              </w:rPr>
            </w:pPr>
            <w:r w:rsidRPr="0035588B">
              <w:rPr>
                <w:rFonts w:asciiTheme="majorBidi" w:hAnsiTheme="majorBidi" w:cstheme="majorBidi"/>
                <w:sz w:val="20"/>
                <w:szCs w:val="20"/>
              </w:rPr>
              <w:t>X</w:t>
            </w:r>
            <w:r w:rsidRPr="0035588B">
              <w:rPr>
                <w:rFonts w:asciiTheme="majorBidi" w:hAnsiTheme="majorBidi" w:cstheme="majorBidi"/>
                <w:sz w:val="20"/>
                <w:szCs w:val="20"/>
                <w:vertAlign w:val="superscript"/>
              </w:rPr>
              <w:t>2</w:t>
            </w:r>
            <w:r w:rsidRPr="0035588B">
              <w:rPr>
                <w:rFonts w:asciiTheme="majorBidi" w:hAnsiTheme="majorBidi" w:cstheme="majorBidi"/>
                <w:sz w:val="20"/>
                <w:szCs w:val="20"/>
              </w:rPr>
              <w:t xml:space="preserve">= </w:t>
            </w:r>
            <w:r>
              <w:rPr>
                <w:rFonts w:asciiTheme="majorBidi" w:hAnsiTheme="majorBidi" w:cstheme="majorBidi"/>
                <w:sz w:val="20"/>
                <w:szCs w:val="20"/>
              </w:rPr>
              <w:t xml:space="preserve"> 4.442</w:t>
            </w:r>
          </w:p>
        </w:tc>
        <w:tc>
          <w:tcPr>
            <w:tcW w:w="1094" w:type="pct"/>
            <w:shd w:val="clear" w:color="auto" w:fill="auto"/>
          </w:tcPr>
          <w:p w14:paraId="7E77687A" w14:textId="77777777" w:rsidR="0035588B" w:rsidRDefault="0035588B" w:rsidP="0035588B">
            <w:pPr>
              <w:bidi w:val="0"/>
              <w:spacing w:after="0" w:line="240" w:lineRule="auto"/>
              <w:jc w:val="center"/>
              <w:rPr>
                <w:rFonts w:asciiTheme="majorBidi" w:hAnsiTheme="majorBidi" w:cstheme="majorBidi"/>
                <w:b/>
                <w:bCs/>
                <w:sz w:val="20"/>
                <w:szCs w:val="20"/>
              </w:rPr>
            </w:pPr>
          </w:p>
          <w:p w14:paraId="02A66162" w14:textId="038EA4FC" w:rsidR="00CF5AEB" w:rsidRPr="001A5200" w:rsidRDefault="0035588B" w:rsidP="0035588B">
            <w:pPr>
              <w:bidi w:val="0"/>
              <w:spacing w:after="0" w:line="240" w:lineRule="auto"/>
              <w:jc w:val="center"/>
              <w:rPr>
                <w:rFonts w:asciiTheme="majorBidi" w:hAnsiTheme="majorBidi" w:cstheme="majorBidi"/>
                <w:sz w:val="20"/>
                <w:szCs w:val="20"/>
              </w:rPr>
            </w:pPr>
            <w:r>
              <w:rPr>
                <w:rFonts w:asciiTheme="majorBidi" w:hAnsiTheme="majorBidi" w:cstheme="majorBidi"/>
                <w:b/>
                <w:bCs/>
                <w:sz w:val="20"/>
                <w:szCs w:val="20"/>
              </w:rPr>
              <w:t>0.04</w:t>
            </w:r>
            <w:r w:rsidRPr="0035588B">
              <w:rPr>
                <w:rFonts w:asciiTheme="majorBidi" w:hAnsiTheme="majorBidi" w:cstheme="majorBidi"/>
                <w:b/>
                <w:bCs/>
                <w:sz w:val="20"/>
                <w:szCs w:val="20"/>
              </w:rPr>
              <w:t>*</w:t>
            </w:r>
          </w:p>
        </w:tc>
      </w:tr>
    </w:tbl>
    <w:p w14:paraId="00817415" w14:textId="5735D171"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62B34A81" w14:textId="6B70789E" w:rsidR="00C601E7" w:rsidRPr="001A5200" w:rsidRDefault="00EB795A" w:rsidP="00505EA3">
      <w:pPr>
        <w:bidi w:val="0"/>
        <w:spacing w:after="0" w:line="240" w:lineRule="auto"/>
        <w:jc w:val="both"/>
        <w:rPr>
          <w:rFonts w:asciiTheme="majorBidi" w:hAnsiTheme="majorBidi" w:cstheme="majorBidi"/>
          <w:sz w:val="20"/>
          <w:szCs w:val="20"/>
        </w:rPr>
      </w:pPr>
      <w:proofErr w:type="gramStart"/>
      <w:r w:rsidRPr="001A5200">
        <w:rPr>
          <w:rFonts w:asciiTheme="majorBidi" w:hAnsiTheme="majorBidi" w:cstheme="majorBidi"/>
          <w:sz w:val="20"/>
          <w:szCs w:val="20"/>
        </w:rPr>
        <w:lastRenderedPageBreak/>
        <w:t>An</w:t>
      </w:r>
      <w:proofErr w:type="gramEnd"/>
      <w:r w:rsidRPr="001A5200">
        <w:rPr>
          <w:rFonts w:asciiTheme="majorBidi" w:hAnsiTheme="majorBidi" w:cstheme="majorBidi"/>
          <w:sz w:val="20"/>
          <w:szCs w:val="20"/>
        </w:rPr>
        <w:t xml:space="preserve"> very significant P value is less than 0.01, while a p-value less than 0.05 is also considered significant. SD stands for standard deviation.</w:t>
      </w:r>
    </w:p>
    <w:p w14:paraId="58E672CE" w14:textId="525AADE5" w:rsidR="006A4242" w:rsidRPr="001A5200" w:rsidRDefault="00C601E7" w:rsidP="00505EA3">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t>X2= Chi- Square test</w:t>
      </w:r>
    </w:p>
    <w:p w14:paraId="4E426721" w14:textId="77777777" w:rsidR="00EB11B1" w:rsidRPr="001A5200" w:rsidRDefault="00EB11B1" w:rsidP="00505EA3">
      <w:pPr>
        <w:bidi w:val="0"/>
        <w:spacing w:after="0" w:line="240" w:lineRule="auto"/>
        <w:jc w:val="both"/>
        <w:rPr>
          <w:rFonts w:asciiTheme="majorBidi" w:hAnsiTheme="majorBidi" w:cstheme="majorBidi"/>
          <w:b/>
          <w:bCs/>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4D47E685" w14:textId="77777777" w:rsidR="0035588B" w:rsidRDefault="0035588B" w:rsidP="00505EA3">
      <w:pPr>
        <w:bidi w:val="0"/>
        <w:spacing w:after="120" w:line="240" w:lineRule="auto"/>
        <w:jc w:val="both"/>
        <w:rPr>
          <w:rFonts w:asciiTheme="majorBidi" w:hAnsiTheme="majorBidi" w:cstheme="majorBidi"/>
          <w:b/>
          <w:bCs/>
          <w:sz w:val="20"/>
          <w:szCs w:val="20"/>
        </w:rPr>
      </w:pPr>
    </w:p>
    <w:p w14:paraId="08CF0EB8" w14:textId="02D90D36" w:rsidR="00F540FC" w:rsidRPr="001A5200" w:rsidRDefault="00D65590" w:rsidP="00B1522D">
      <w:pPr>
        <w:bidi w:val="0"/>
        <w:spacing w:after="12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 xml:space="preserve">Table </w:t>
      </w:r>
      <w:r>
        <w:rPr>
          <w:rFonts w:asciiTheme="majorBidi" w:hAnsiTheme="majorBidi" w:cstheme="majorBidi"/>
          <w:b/>
          <w:bCs/>
          <w:sz w:val="20"/>
          <w:szCs w:val="20"/>
        </w:rPr>
        <w:t>(</w:t>
      </w:r>
      <w:r w:rsidRPr="001A5200">
        <w:rPr>
          <w:rFonts w:asciiTheme="majorBidi" w:hAnsiTheme="majorBidi" w:cstheme="majorBidi"/>
          <w:b/>
          <w:bCs/>
          <w:sz w:val="20"/>
          <w:szCs w:val="20"/>
        </w:rPr>
        <w:t>3)</w:t>
      </w:r>
      <w:r>
        <w:rPr>
          <w:rFonts w:asciiTheme="majorBidi" w:hAnsiTheme="majorBidi" w:cstheme="majorBidi"/>
          <w:b/>
          <w:bCs/>
          <w:sz w:val="20"/>
          <w:szCs w:val="20"/>
        </w:rPr>
        <w:t xml:space="preserve"> </w:t>
      </w:r>
      <w:r w:rsidR="00B1522D" w:rsidRPr="00B1522D">
        <w:rPr>
          <w:rFonts w:asciiTheme="majorBidi" w:hAnsiTheme="majorBidi" w:cstheme="majorBidi"/>
          <w:b/>
          <w:bCs/>
          <w:sz w:val="20"/>
          <w:szCs w:val="20"/>
        </w:rPr>
        <w:t>Laboratory profile in the studied groups</w:t>
      </w:r>
    </w:p>
    <w:tbl>
      <w:tblPr>
        <w:tblW w:w="4580" w:type="pct"/>
        <w:jc w:val="center"/>
        <w:tblBorders>
          <w:top w:val="single" w:sz="4" w:space="0" w:color="auto"/>
          <w:bottom w:val="single" w:sz="4" w:space="0" w:color="auto"/>
        </w:tblBorders>
        <w:tblLook w:val="04A0" w:firstRow="1" w:lastRow="0" w:firstColumn="1" w:lastColumn="0" w:noHBand="0" w:noVBand="1"/>
      </w:tblPr>
      <w:tblGrid>
        <w:gridCol w:w="1280"/>
        <w:gridCol w:w="1012"/>
        <w:gridCol w:w="1351"/>
        <w:gridCol w:w="528"/>
        <w:gridCol w:w="347"/>
        <w:gridCol w:w="426"/>
        <w:gridCol w:w="1010"/>
        <w:gridCol w:w="426"/>
        <w:gridCol w:w="864"/>
        <w:gridCol w:w="419"/>
        <w:gridCol w:w="1036"/>
        <w:gridCol w:w="567"/>
      </w:tblGrid>
      <w:tr w:rsidR="001521EF" w:rsidRPr="001A5200" w14:paraId="6724C652" w14:textId="77777777" w:rsidTr="001521EF">
        <w:trPr>
          <w:trHeight w:val="77"/>
          <w:jc w:val="center"/>
        </w:trPr>
        <w:tc>
          <w:tcPr>
            <w:tcW w:w="1237" w:type="pct"/>
            <w:gridSpan w:val="2"/>
            <w:vMerge w:val="restart"/>
            <w:tcBorders>
              <w:top w:val="single" w:sz="4" w:space="0" w:color="auto"/>
              <w:bottom w:val="nil"/>
            </w:tcBorders>
            <w:shd w:val="clear" w:color="auto" w:fill="auto"/>
            <w:vAlign w:val="center"/>
          </w:tcPr>
          <w:p w14:paraId="2B16AC76" w14:textId="77777777" w:rsidR="00B1522D" w:rsidRPr="001A5200" w:rsidRDefault="00B1522D" w:rsidP="00205ABA">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Variable</w:t>
            </w:r>
          </w:p>
          <w:p w14:paraId="1FE2EE3B" w14:textId="77777777" w:rsidR="00B1522D" w:rsidRPr="001A5200" w:rsidRDefault="00B1522D" w:rsidP="00205ABA">
            <w:pPr>
              <w:bidi w:val="0"/>
              <w:spacing w:after="0" w:line="240" w:lineRule="auto"/>
              <w:jc w:val="both"/>
              <w:rPr>
                <w:rFonts w:asciiTheme="majorBidi" w:hAnsiTheme="majorBidi" w:cstheme="majorBidi"/>
                <w:b/>
                <w:bCs/>
                <w:sz w:val="20"/>
                <w:szCs w:val="20"/>
              </w:rPr>
            </w:pPr>
          </w:p>
        </w:tc>
        <w:tc>
          <w:tcPr>
            <w:tcW w:w="1014" w:type="pct"/>
            <w:gridSpan w:val="2"/>
            <w:tcBorders>
              <w:top w:val="single" w:sz="4" w:space="0" w:color="auto"/>
              <w:bottom w:val="nil"/>
            </w:tcBorders>
            <w:shd w:val="clear" w:color="auto" w:fill="auto"/>
            <w:vAlign w:val="center"/>
            <w:hideMark/>
          </w:tcPr>
          <w:p w14:paraId="5FDA0C39" w14:textId="77777777" w:rsidR="00B1522D" w:rsidRPr="001A5200" w:rsidRDefault="00B1522D" w:rsidP="00205ABA">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lastRenderedPageBreak/>
              <w:t xml:space="preserve">CRC </w:t>
            </w:r>
            <w:r w:rsidRPr="001A5200">
              <w:rPr>
                <w:rFonts w:asciiTheme="majorBidi" w:hAnsiTheme="majorBidi" w:cstheme="majorBidi"/>
                <w:b/>
                <w:bCs/>
                <w:sz w:val="20"/>
                <w:szCs w:val="20"/>
              </w:rPr>
              <w:t>group</w:t>
            </w:r>
          </w:p>
          <w:p w14:paraId="4B13C8CA" w14:textId="77777777" w:rsidR="00B1522D" w:rsidRPr="001A5200" w:rsidRDefault="00B1522D" w:rsidP="00205ABA">
            <w:pPr>
              <w:bidi w:val="0"/>
              <w:spacing w:after="0" w:line="240" w:lineRule="auto"/>
              <w:jc w:val="center"/>
              <w:rPr>
                <w:rFonts w:asciiTheme="majorBidi" w:hAnsiTheme="majorBidi" w:cstheme="majorBidi"/>
                <w:b/>
                <w:bCs/>
                <w:sz w:val="20"/>
                <w:szCs w:val="20"/>
                <w:rtl/>
                <w:lang w:bidi="ar-EG"/>
              </w:rPr>
            </w:pPr>
            <w:r w:rsidRPr="001A5200">
              <w:rPr>
                <w:rFonts w:asciiTheme="majorBidi" w:hAnsiTheme="majorBidi" w:cstheme="majorBidi"/>
                <w:b/>
                <w:bCs/>
                <w:sz w:val="20"/>
                <w:szCs w:val="20"/>
              </w:rPr>
              <w:lastRenderedPageBreak/>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1191" w:type="pct"/>
            <w:gridSpan w:val="4"/>
            <w:tcBorders>
              <w:top w:val="single" w:sz="4" w:space="0" w:color="auto"/>
              <w:bottom w:val="nil"/>
            </w:tcBorders>
            <w:shd w:val="clear" w:color="auto" w:fill="auto"/>
            <w:vAlign w:val="center"/>
          </w:tcPr>
          <w:p w14:paraId="510ABE4E" w14:textId="77777777" w:rsidR="00B1522D" w:rsidRPr="001A5200" w:rsidRDefault="00B1522D" w:rsidP="00205ABA">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lastRenderedPageBreak/>
              <w:t>Control group</w:t>
            </w:r>
          </w:p>
          <w:p w14:paraId="243396C5" w14:textId="77777777" w:rsidR="00B1522D" w:rsidRPr="001A5200" w:rsidRDefault="00B1522D" w:rsidP="00205ABA">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lastRenderedPageBreak/>
              <w:t xml:space="preserve"> (N=</w:t>
            </w:r>
            <w:r>
              <w:rPr>
                <w:rFonts w:asciiTheme="majorBidi" w:hAnsiTheme="majorBidi" w:cstheme="majorBidi"/>
                <w:b/>
                <w:bCs/>
                <w:sz w:val="20"/>
                <w:szCs w:val="20"/>
              </w:rPr>
              <w:t>45</w:t>
            </w:r>
            <w:r w:rsidRPr="001A5200">
              <w:rPr>
                <w:rFonts w:asciiTheme="majorBidi" w:hAnsiTheme="majorBidi" w:cstheme="majorBidi"/>
                <w:b/>
                <w:bCs/>
                <w:sz w:val="20"/>
                <w:szCs w:val="20"/>
              </w:rPr>
              <w:t>)</w:t>
            </w:r>
          </w:p>
        </w:tc>
        <w:tc>
          <w:tcPr>
            <w:tcW w:w="466" w:type="pct"/>
            <w:vMerge w:val="restart"/>
            <w:tcBorders>
              <w:top w:val="single" w:sz="4" w:space="0" w:color="auto"/>
              <w:bottom w:val="single" w:sz="4" w:space="0" w:color="auto"/>
            </w:tcBorders>
            <w:shd w:val="clear" w:color="auto" w:fill="auto"/>
            <w:vAlign w:val="center"/>
            <w:hideMark/>
          </w:tcPr>
          <w:p w14:paraId="6A2BD4A3" w14:textId="77777777" w:rsidR="00B1522D" w:rsidRPr="001A5200" w:rsidRDefault="00B1522D" w:rsidP="00205ABA">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lastRenderedPageBreak/>
              <w:t xml:space="preserve">Test </w:t>
            </w:r>
            <w:r w:rsidRPr="001A5200">
              <w:rPr>
                <w:rFonts w:asciiTheme="majorBidi" w:hAnsiTheme="majorBidi" w:cstheme="majorBidi"/>
                <w:b/>
                <w:bCs/>
                <w:sz w:val="20"/>
                <w:szCs w:val="20"/>
              </w:rPr>
              <w:lastRenderedPageBreak/>
              <w:t>value</w:t>
            </w:r>
          </w:p>
        </w:tc>
        <w:tc>
          <w:tcPr>
            <w:tcW w:w="1091" w:type="pct"/>
            <w:gridSpan w:val="3"/>
            <w:vMerge w:val="restart"/>
            <w:tcBorders>
              <w:top w:val="single" w:sz="4" w:space="0" w:color="auto"/>
              <w:bottom w:val="single" w:sz="4" w:space="0" w:color="auto"/>
            </w:tcBorders>
            <w:shd w:val="clear" w:color="auto" w:fill="auto"/>
            <w:vAlign w:val="center"/>
          </w:tcPr>
          <w:p w14:paraId="2E895F96" w14:textId="77777777" w:rsidR="00B1522D" w:rsidRPr="001A5200" w:rsidRDefault="00B1522D" w:rsidP="00205ABA">
            <w:pPr>
              <w:bidi w:val="0"/>
              <w:spacing w:after="0" w:line="240" w:lineRule="auto"/>
              <w:jc w:val="center"/>
              <w:rPr>
                <w:rFonts w:asciiTheme="majorBidi" w:hAnsiTheme="majorBidi" w:cstheme="majorBidi"/>
                <w:b/>
                <w:bCs/>
                <w:sz w:val="20"/>
                <w:szCs w:val="20"/>
              </w:rPr>
            </w:pPr>
            <w:r w:rsidRPr="001A5200">
              <w:rPr>
                <w:rFonts w:asciiTheme="majorBidi" w:hAnsiTheme="majorBidi" w:cstheme="majorBidi"/>
                <w:b/>
                <w:bCs/>
                <w:sz w:val="20"/>
                <w:szCs w:val="20"/>
              </w:rPr>
              <w:lastRenderedPageBreak/>
              <w:t>P-value</w:t>
            </w:r>
          </w:p>
        </w:tc>
      </w:tr>
      <w:tr w:rsidR="00B1522D" w:rsidRPr="001A5200" w14:paraId="6F1324C6" w14:textId="77777777" w:rsidTr="001521EF">
        <w:trPr>
          <w:trHeight w:val="53"/>
          <w:jc w:val="center"/>
        </w:trPr>
        <w:tc>
          <w:tcPr>
            <w:tcW w:w="1237" w:type="pct"/>
            <w:gridSpan w:val="2"/>
            <w:vMerge/>
            <w:tcBorders>
              <w:top w:val="nil"/>
              <w:bottom w:val="single" w:sz="4" w:space="0" w:color="auto"/>
            </w:tcBorders>
            <w:shd w:val="clear" w:color="auto" w:fill="auto"/>
            <w:vAlign w:val="center"/>
          </w:tcPr>
          <w:p w14:paraId="08D926E9" w14:textId="77777777" w:rsidR="00B1522D" w:rsidRPr="001A5200" w:rsidRDefault="00B1522D" w:rsidP="00205ABA">
            <w:pPr>
              <w:bidi w:val="0"/>
              <w:spacing w:after="0" w:line="240" w:lineRule="auto"/>
              <w:jc w:val="both"/>
              <w:rPr>
                <w:rFonts w:asciiTheme="majorBidi" w:hAnsiTheme="majorBidi" w:cstheme="majorBidi"/>
                <w:b/>
                <w:bCs/>
                <w:sz w:val="20"/>
                <w:szCs w:val="20"/>
              </w:rPr>
            </w:pPr>
          </w:p>
        </w:tc>
        <w:tc>
          <w:tcPr>
            <w:tcW w:w="1014" w:type="pct"/>
            <w:gridSpan w:val="2"/>
            <w:tcBorders>
              <w:top w:val="nil"/>
              <w:bottom w:val="single" w:sz="4" w:space="0" w:color="auto"/>
            </w:tcBorders>
            <w:shd w:val="clear" w:color="auto" w:fill="auto"/>
            <w:vAlign w:val="center"/>
          </w:tcPr>
          <w:p w14:paraId="2C83BA3C" w14:textId="75E5342A" w:rsidR="00B1522D" w:rsidRPr="001A5200" w:rsidRDefault="00B1522D" w:rsidP="00B1522D">
            <w:pPr>
              <w:bidi w:val="0"/>
              <w:spacing w:after="0" w:line="240" w:lineRule="auto"/>
              <w:jc w:val="center"/>
              <w:rPr>
                <w:rFonts w:asciiTheme="majorBidi" w:hAnsiTheme="majorBidi" w:cstheme="majorBidi"/>
                <w:b/>
                <w:bCs/>
                <w:sz w:val="20"/>
                <w:szCs w:val="20"/>
              </w:rPr>
            </w:pPr>
          </w:p>
        </w:tc>
        <w:tc>
          <w:tcPr>
            <w:tcW w:w="1191" w:type="pct"/>
            <w:gridSpan w:val="4"/>
            <w:tcBorders>
              <w:top w:val="nil"/>
              <w:bottom w:val="single" w:sz="4" w:space="0" w:color="auto"/>
            </w:tcBorders>
            <w:shd w:val="clear" w:color="auto" w:fill="auto"/>
            <w:vAlign w:val="center"/>
          </w:tcPr>
          <w:p w14:paraId="26B266F0" w14:textId="40EB2466" w:rsidR="00B1522D" w:rsidRPr="001A5200" w:rsidRDefault="001521EF" w:rsidP="001521EF">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       </w:t>
            </w:r>
          </w:p>
        </w:tc>
        <w:tc>
          <w:tcPr>
            <w:tcW w:w="466" w:type="pct"/>
            <w:vMerge/>
            <w:tcBorders>
              <w:top w:val="nil"/>
              <w:bottom w:val="single" w:sz="4" w:space="0" w:color="auto"/>
            </w:tcBorders>
            <w:shd w:val="clear" w:color="auto" w:fill="auto"/>
            <w:vAlign w:val="center"/>
          </w:tcPr>
          <w:p w14:paraId="2523BC7D" w14:textId="77777777" w:rsidR="00B1522D" w:rsidRPr="001A5200" w:rsidRDefault="00B1522D" w:rsidP="00205ABA">
            <w:pPr>
              <w:bidi w:val="0"/>
              <w:spacing w:after="0" w:line="240" w:lineRule="auto"/>
              <w:jc w:val="center"/>
              <w:rPr>
                <w:rFonts w:asciiTheme="majorBidi" w:hAnsiTheme="majorBidi" w:cstheme="majorBidi"/>
                <w:sz w:val="20"/>
                <w:szCs w:val="20"/>
              </w:rPr>
            </w:pPr>
          </w:p>
        </w:tc>
        <w:tc>
          <w:tcPr>
            <w:tcW w:w="1091" w:type="pct"/>
            <w:gridSpan w:val="3"/>
            <w:vMerge/>
            <w:tcBorders>
              <w:top w:val="nil"/>
              <w:bottom w:val="single" w:sz="4" w:space="0" w:color="auto"/>
            </w:tcBorders>
            <w:shd w:val="clear" w:color="auto" w:fill="auto"/>
          </w:tcPr>
          <w:p w14:paraId="6702BCD5" w14:textId="77777777" w:rsidR="00B1522D" w:rsidRPr="001A5200" w:rsidRDefault="00B1522D" w:rsidP="00205ABA">
            <w:pPr>
              <w:bidi w:val="0"/>
              <w:spacing w:after="0" w:line="240" w:lineRule="auto"/>
              <w:jc w:val="center"/>
              <w:rPr>
                <w:rFonts w:asciiTheme="majorBidi" w:hAnsiTheme="majorBidi" w:cstheme="majorBidi"/>
                <w:sz w:val="20"/>
                <w:szCs w:val="20"/>
              </w:rPr>
            </w:pPr>
          </w:p>
        </w:tc>
      </w:tr>
      <w:tr w:rsidR="00B1522D" w:rsidRPr="001A5200" w14:paraId="738F61D4" w14:textId="77777777" w:rsidTr="001521EF">
        <w:trPr>
          <w:trHeight w:val="87"/>
          <w:jc w:val="center"/>
        </w:trPr>
        <w:tc>
          <w:tcPr>
            <w:tcW w:w="691" w:type="pct"/>
            <w:vMerge w:val="restart"/>
            <w:tcBorders>
              <w:top w:val="single" w:sz="4" w:space="0" w:color="auto"/>
            </w:tcBorders>
            <w:shd w:val="clear" w:color="auto" w:fill="auto"/>
            <w:vAlign w:val="center"/>
            <w:hideMark/>
          </w:tcPr>
          <w:p w14:paraId="1C9ACC5E" w14:textId="77777777" w:rsidR="00B1522D" w:rsidRDefault="00B1522D" w:rsidP="00B1522D">
            <w:pPr>
              <w:bidi w:val="0"/>
              <w:spacing w:after="0" w:line="240" w:lineRule="auto"/>
              <w:jc w:val="both"/>
              <w:rPr>
                <w:rFonts w:asciiTheme="majorBidi" w:hAnsiTheme="majorBidi" w:cstheme="majorBidi"/>
                <w:b/>
                <w:bCs/>
                <w:sz w:val="20"/>
                <w:szCs w:val="20"/>
              </w:rPr>
            </w:pPr>
          </w:p>
          <w:p w14:paraId="7E155F61" w14:textId="52C5433E" w:rsidR="00B1522D" w:rsidRPr="001A5200" w:rsidRDefault="00B1522D" w:rsidP="00B1522D">
            <w:pPr>
              <w:bidi w:val="0"/>
              <w:spacing w:after="0" w:line="240" w:lineRule="auto"/>
              <w:jc w:val="both"/>
              <w:rPr>
                <w:rFonts w:asciiTheme="majorBidi" w:hAnsiTheme="majorBidi" w:cstheme="majorBidi"/>
                <w:b/>
                <w:bCs/>
                <w:sz w:val="20"/>
                <w:szCs w:val="20"/>
              </w:rPr>
            </w:pPr>
            <w:r w:rsidRPr="00B1522D">
              <w:rPr>
                <w:rFonts w:asciiTheme="majorBidi" w:hAnsiTheme="majorBidi" w:cstheme="majorBidi"/>
                <w:b/>
                <w:bCs/>
                <w:sz w:val="20"/>
                <w:szCs w:val="20"/>
              </w:rPr>
              <w:t>Albumin (g/dl)</w:t>
            </w:r>
          </w:p>
        </w:tc>
        <w:tc>
          <w:tcPr>
            <w:tcW w:w="546" w:type="pct"/>
            <w:vMerge w:val="restart"/>
            <w:tcBorders>
              <w:top w:val="single" w:sz="4" w:space="0" w:color="auto"/>
            </w:tcBorders>
            <w:shd w:val="clear" w:color="auto" w:fill="auto"/>
            <w:vAlign w:val="center"/>
            <w:hideMark/>
          </w:tcPr>
          <w:p w14:paraId="470AE973" w14:textId="77777777" w:rsidR="001521EF" w:rsidRDefault="001521EF" w:rsidP="00205ABA">
            <w:pPr>
              <w:bidi w:val="0"/>
              <w:spacing w:after="0" w:line="240" w:lineRule="auto"/>
              <w:jc w:val="both"/>
              <w:rPr>
                <w:rFonts w:asciiTheme="majorBidi" w:hAnsiTheme="majorBidi" w:cstheme="majorBidi"/>
                <w:b/>
                <w:bCs/>
                <w:sz w:val="20"/>
                <w:szCs w:val="20"/>
              </w:rPr>
            </w:pPr>
          </w:p>
          <w:p w14:paraId="14F8F67D" w14:textId="750F15AF" w:rsidR="00B1522D" w:rsidRPr="001A5200" w:rsidRDefault="001521EF" w:rsidP="001521EF">
            <w:pPr>
              <w:bidi w:val="0"/>
              <w:spacing w:after="0" w:line="240" w:lineRule="auto"/>
              <w:jc w:val="both"/>
              <w:rPr>
                <w:rFonts w:asciiTheme="majorBidi" w:hAnsiTheme="majorBidi" w:cstheme="majorBidi"/>
                <w:b/>
                <w:bCs/>
                <w:sz w:val="20"/>
                <w:szCs w:val="20"/>
              </w:rPr>
            </w:pPr>
            <w:r w:rsidRPr="00B1522D">
              <w:rPr>
                <w:rFonts w:asciiTheme="majorBidi" w:hAnsiTheme="majorBidi" w:cstheme="majorBidi"/>
                <w:b/>
                <w:bCs/>
                <w:sz w:val="20"/>
                <w:szCs w:val="20"/>
              </w:rPr>
              <w:t>Mean ±SD</w:t>
            </w:r>
          </w:p>
        </w:tc>
        <w:tc>
          <w:tcPr>
            <w:tcW w:w="1014" w:type="pct"/>
            <w:gridSpan w:val="2"/>
            <w:vMerge w:val="restart"/>
            <w:tcBorders>
              <w:top w:val="single" w:sz="4" w:space="0" w:color="auto"/>
            </w:tcBorders>
            <w:shd w:val="clear" w:color="auto" w:fill="auto"/>
            <w:vAlign w:val="center"/>
          </w:tcPr>
          <w:p w14:paraId="6563F716" w14:textId="77777777" w:rsidR="001521EF" w:rsidRDefault="001521EF" w:rsidP="00B1522D">
            <w:pPr>
              <w:bidi w:val="0"/>
              <w:spacing w:after="0" w:line="240" w:lineRule="auto"/>
              <w:rPr>
                <w:rFonts w:asciiTheme="majorBidi" w:hAnsiTheme="majorBidi" w:cstheme="majorBidi"/>
                <w:sz w:val="20"/>
                <w:szCs w:val="20"/>
              </w:rPr>
            </w:pPr>
          </w:p>
          <w:p w14:paraId="42CB0F51" w14:textId="7E4D6444" w:rsidR="00B1522D" w:rsidRPr="001A5200" w:rsidRDefault="001521EF" w:rsidP="001521EF">
            <w:pPr>
              <w:bidi w:val="0"/>
              <w:spacing w:after="0" w:line="240" w:lineRule="auto"/>
              <w:rPr>
                <w:rFonts w:asciiTheme="majorBidi" w:hAnsiTheme="majorBidi" w:cstheme="majorBidi"/>
                <w:sz w:val="20"/>
                <w:szCs w:val="20"/>
              </w:rPr>
            </w:pPr>
            <w:r>
              <w:rPr>
                <w:rFonts w:asciiTheme="majorBidi" w:hAnsiTheme="majorBidi" w:cstheme="majorBidi"/>
                <w:sz w:val="20"/>
                <w:szCs w:val="20"/>
              </w:rPr>
              <w:t>3.1</w:t>
            </w:r>
            <w:r w:rsidR="00B1522D" w:rsidRPr="00B1522D">
              <w:rPr>
                <w:rFonts w:asciiTheme="majorBidi" w:hAnsiTheme="majorBidi" w:cstheme="majorBidi"/>
                <w:sz w:val="20"/>
                <w:szCs w:val="20"/>
              </w:rPr>
              <w:t xml:space="preserve"> ±0.74</w:t>
            </w:r>
          </w:p>
        </w:tc>
        <w:tc>
          <w:tcPr>
            <w:tcW w:w="417" w:type="pct"/>
            <w:gridSpan w:val="2"/>
            <w:tcBorders>
              <w:top w:val="single" w:sz="4" w:space="0" w:color="auto"/>
            </w:tcBorders>
            <w:shd w:val="clear" w:color="auto" w:fill="auto"/>
            <w:vAlign w:val="center"/>
          </w:tcPr>
          <w:p w14:paraId="031770B8" w14:textId="77777777" w:rsidR="00B1522D" w:rsidRPr="001A5200" w:rsidRDefault="00B1522D" w:rsidP="00205ABA">
            <w:pPr>
              <w:bidi w:val="0"/>
              <w:spacing w:after="0" w:line="240" w:lineRule="auto"/>
              <w:rPr>
                <w:rFonts w:asciiTheme="majorBidi" w:hAnsiTheme="majorBidi" w:cstheme="majorBidi"/>
                <w:sz w:val="20"/>
                <w:szCs w:val="20"/>
              </w:rPr>
            </w:pPr>
          </w:p>
        </w:tc>
        <w:tc>
          <w:tcPr>
            <w:tcW w:w="775" w:type="pct"/>
            <w:gridSpan w:val="2"/>
            <w:tcBorders>
              <w:top w:val="single" w:sz="4" w:space="0" w:color="auto"/>
            </w:tcBorders>
            <w:shd w:val="clear" w:color="auto" w:fill="auto"/>
            <w:vAlign w:val="center"/>
          </w:tcPr>
          <w:p w14:paraId="354BF19A" w14:textId="77777777" w:rsidR="00B1522D" w:rsidRPr="001A5200" w:rsidRDefault="00B1522D" w:rsidP="001521EF">
            <w:pPr>
              <w:bidi w:val="0"/>
              <w:spacing w:after="0" w:line="240" w:lineRule="auto"/>
              <w:rPr>
                <w:rFonts w:asciiTheme="majorBidi" w:hAnsiTheme="majorBidi" w:cstheme="majorBidi"/>
                <w:sz w:val="20"/>
                <w:szCs w:val="20"/>
              </w:rPr>
            </w:pPr>
          </w:p>
        </w:tc>
        <w:tc>
          <w:tcPr>
            <w:tcW w:w="466" w:type="pct"/>
            <w:vMerge w:val="restart"/>
            <w:tcBorders>
              <w:top w:val="single" w:sz="4" w:space="0" w:color="auto"/>
            </w:tcBorders>
            <w:shd w:val="clear" w:color="auto" w:fill="auto"/>
            <w:vAlign w:val="center"/>
          </w:tcPr>
          <w:p w14:paraId="3D80619C" w14:textId="77777777" w:rsidR="00B1522D" w:rsidRDefault="00B1522D" w:rsidP="00205ABA">
            <w:pPr>
              <w:bidi w:val="0"/>
              <w:spacing w:after="0" w:line="240" w:lineRule="auto"/>
              <w:jc w:val="center"/>
              <w:rPr>
                <w:rFonts w:asciiTheme="majorBidi" w:hAnsiTheme="majorBidi" w:cstheme="majorBidi"/>
                <w:sz w:val="20"/>
                <w:szCs w:val="20"/>
              </w:rPr>
            </w:pPr>
          </w:p>
          <w:p w14:paraId="012D8527" w14:textId="3FB03166" w:rsidR="00B1522D" w:rsidRPr="001A5200" w:rsidRDefault="00B1522D" w:rsidP="00B1522D">
            <w:pPr>
              <w:bidi w:val="0"/>
              <w:spacing w:after="0" w:line="240" w:lineRule="auto"/>
              <w:jc w:val="center"/>
              <w:rPr>
                <w:rFonts w:asciiTheme="majorBidi" w:hAnsiTheme="majorBidi" w:cstheme="majorBidi"/>
                <w:sz w:val="20"/>
                <w:szCs w:val="20"/>
              </w:rPr>
            </w:pPr>
            <w:r w:rsidRPr="00B1522D">
              <w:rPr>
                <w:rFonts w:asciiTheme="majorBidi" w:hAnsiTheme="majorBidi" w:cstheme="majorBidi"/>
                <w:sz w:val="20"/>
                <w:szCs w:val="20"/>
              </w:rPr>
              <w:t>t =</w:t>
            </w:r>
            <w:r w:rsidR="001521EF">
              <w:rPr>
                <w:rFonts w:asciiTheme="majorBidi" w:hAnsiTheme="majorBidi" w:cstheme="majorBidi"/>
                <w:sz w:val="20"/>
                <w:szCs w:val="20"/>
              </w:rPr>
              <w:t xml:space="preserve"> 9.921</w:t>
            </w:r>
          </w:p>
        </w:tc>
        <w:tc>
          <w:tcPr>
            <w:tcW w:w="1091" w:type="pct"/>
            <w:gridSpan w:val="3"/>
            <w:vMerge w:val="restart"/>
            <w:tcBorders>
              <w:top w:val="single" w:sz="4" w:space="0" w:color="auto"/>
            </w:tcBorders>
            <w:shd w:val="clear" w:color="auto" w:fill="auto"/>
            <w:vAlign w:val="center"/>
          </w:tcPr>
          <w:p w14:paraId="4A59D6B9" w14:textId="019ECC10" w:rsidR="00B1522D" w:rsidRPr="001A5200" w:rsidRDefault="00B1522D" w:rsidP="00B1522D">
            <w:pPr>
              <w:bidi w:val="0"/>
              <w:spacing w:after="0" w:line="240" w:lineRule="auto"/>
              <w:jc w:val="center"/>
              <w:rPr>
                <w:rFonts w:asciiTheme="majorBidi" w:hAnsiTheme="majorBidi" w:cstheme="majorBidi"/>
                <w:b/>
                <w:bCs/>
                <w:sz w:val="20"/>
                <w:szCs w:val="20"/>
              </w:rPr>
            </w:pPr>
            <w:r w:rsidRPr="00B1522D">
              <w:rPr>
                <w:rFonts w:asciiTheme="majorBidi" w:hAnsiTheme="majorBidi" w:cstheme="majorBidi"/>
                <w:b/>
                <w:bCs/>
                <w:sz w:val="20"/>
                <w:szCs w:val="20"/>
              </w:rPr>
              <w:t>&lt;0.001*</w:t>
            </w:r>
          </w:p>
        </w:tc>
      </w:tr>
      <w:tr w:rsidR="00B1522D" w:rsidRPr="001A5200" w14:paraId="5EA3F604" w14:textId="77777777" w:rsidTr="001521EF">
        <w:trPr>
          <w:trHeight w:val="109"/>
          <w:jc w:val="center"/>
        </w:trPr>
        <w:tc>
          <w:tcPr>
            <w:tcW w:w="691" w:type="pct"/>
            <w:vMerge/>
            <w:shd w:val="clear" w:color="auto" w:fill="auto"/>
            <w:vAlign w:val="center"/>
          </w:tcPr>
          <w:p w14:paraId="5EA8F986" w14:textId="77777777" w:rsidR="00B1522D" w:rsidRPr="001A5200" w:rsidRDefault="00B1522D" w:rsidP="00205ABA">
            <w:pPr>
              <w:bidi w:val="0"/>
              <w:spacing w:after="0" w:line="240" w:lineRule="auto"/>
              <w:jc w:val="both"/>
              <w:rPr>
                <w:rFonts w:asciiTheme="majorBidi" w:hAnsiTheme="majorBidi" w:cstheme="majorBidi"/>
                <w:b/>
                <w:bCs/>
                <w:sz w:val="20"/>
                <w:szCs w:val="20"/>
              </w:rPr>
            </w:pPr>
          </w:p>
        </w:tc>
        <w:tc>
          <w:tcPr>
            <w:tcW w:w="546" w:type="pct"/>
            <w:vMerge/>
            <w:shd w:val="clear" w:color="auto" w:fill="auto"/>
            <w:vAlign w:val="center"/>
          </w:tcPr>
          <w:p w14:paraId="13797F18" w14:textId="77777777" w:rsidR="00B1522D" w:rsidRPr="001A5200" w:rsidRDefault="00B1522D" w:rsidP="00205ABA">
            <w:pPr>
              <w:bidi w:val="0"/>
              <w:spacing w:after="0" w:line="240" w:lineRule="auto"/>
              <w:jc w:val="both"/>
              <w:rPr>
                <w:rFonts w:asciiTheme="majorBidi" w:hAnsiTheme="majorBidi" w:cstheme="majorBidi"/>
                <w:b/>
                <w:bCs/>
                <w:sz w:val="20"/>
                <w:szCs w:val="20"/>
              </w:rPr>
            </w:pPr>
          </w:p>
        </w:tc>
        <w:tc>
          <w:tcPr>
            <w:tcW w:w="1014" w:type="pct"/>
            <w:gridSpan w:val="2"/>
            <w:vMerge/>
            <w:shd w:val="clear" w:color="auto" w:fill="auto"/>
            <w:vAlign w:val="center"/>
          </w:tcPr>
          <w:p w14:paraId="1D101911" w14:textId="77777777" w:rsidR="00B1522D" w:rsidRPr="001A5200" w:rsidRDefault="00B1522D" w:rsidP="00205ABA">
            <w:pPr>
              <w:bidi w:val="0"/>
              <w:spacing w:after="0" w:line="240" w:lineRule="auto"/>
              <w:jc w:val="center"/>
              <w:rPr>
                <w:rFonts w:asciiTheme="majorBidi" w:hAnsiTheme="majorBidi" w:cstheme="majorBidi"/>
                <w:sz w:val="20"/>
                <w:szCs w:val="20"/>
              </w:rPr>
            </w:pPr>
          </w:p>
        </w:tc>
        <w:tc>
          <w:tcPr>
            <w:tcW w:w="1191" w:type="pct"/>
            <w:gridSpan w:val="4"/>
            <w:shd w:val="clear" w:color="auto" w:fill="auto"/>
            <w:vAlign w:val="center"/>
          </w:tcPr>
          <w:p w14:paraId="0FCEA913" w14:textId="6413A3F7" w:rsidR="00B1522D" w:rsidRPr="001A5200" w:rsidRDefault="001521EF" w:rsidP="001521EF">
            <w:pPr>
              <w:bidi w:val="0"/>
              <w:spacing w:after="0" w:line="240" w:lineRule="auto"/>
              <w:rPr>
                <w:rFonts w:asciiTheme="majorBidi" w:hAnsiTheme="majorBidi" w:cstheme="majorBidi"/>
                <w:sz w:val="20"/>
                <w:szCs w:val="20"/>
              </w:rPr>
            </w:pPr>
            <w:r>
              <w:rPr>
                <w:rFonts w:asciiTheme="majorBidi" w:hAnsiTheme="majorBidi" w:cstheme="majorBidi"/>
                <w:sz w:val="20"/>
                <w:szCs w:val="20"/>
              </w:rPr>
              <w:t xml:space="preserve">        4.0</w:t>
            </w:r>
            <w:r w:rsidR="00B1522D" w:rsidRPr="00B1522D">
              <w:rPr>
                <w:rFonts w:asciiTheme="majorBidi" w:hAnsiTheme="majorBidi" w:cstheme="majorBidi"/>
                <w:sz w:val="20"/>
                <w:szCs w:val="20"/>
              </w:rPr>
              <w:t xml:space="preserve"> ±0.62</w:t>
            </w:r>
          </w:p>
        </w:tc>
        <w:tc>
          <w:tcPr>
            <w:tcW w:w="466" w:type="pct"/>
            <w:vMerge/>
            <w:shd w:val="clear" w:color="auto" w:fill="auto"/>
            <w:vAlign w:val="center"/>
          </w:tcPr>
          <w:p w14:paraId="0638F0B5" w14:textId="77777777" w:rsidR="00B1522D" w:rsidRPr="001A5200" w:rsidRDefault="00B1522D" w:rsidP="00205ABA">
            <w:pPr>
              <w:bidi w:val="0"/>
              <w:spacing w:after="0" w:line="240" w:lineRule="auto"/>
              <w:jc w:val="center"/>
              <w:rPr>
                <w:rFonts w:asciiTheme="majorBidi" w:hAnsiTheme="majorBidi" w:cstheme="majorBidi"/>
                <w:sz w:val="20"/>
                <w:szCs w:val="20"/>
              </w:rPr>
            </w:pPr>
          </w:p>
        </w:tc>
        <w:tc>
          <w:tcPr>
            <w:tcW w:w="1091" w:type="pct"/>
            <w:gridSpan w:val="3"/>
            <w:vMerge/>
            <w:shd w:val="clear" w:color="auto" w:fill="auto"/>
            <w:vAlign w:val="center"/>
          </w:tcPr>
          <w:p w14:paraId="51770913" w14:textId="77777777" w:rsidR="00B1522D" w:rsidRPr="001A5200" w:rsidRDefault="00B1522D" w:rsidP="00205ABA">
            <w:pPr>
              <w:bidi w:val="0"/>
              <w:spacing w:after="0" w:line="240" w:lineRule="auto"/>
              <w:jc w:val="center"/>
              <w:rPr>
                <w:rFonts w:asciiTheme="majorBidi" w:hAnsiTheme="majorBidi" w:cstheme="majorBidi"/>
                <w:sz w:val="20"/>
                <w:szCs w:val="20"/>
              </w:rPr>
            </w:pPr>
          </w:p>
        </w:tc>
      </w:tr>
      <w:tr w:rsidR="001521EF" w:rsidRPr="001A5200" w14:paraId="4F88CBF7" w14:textId="7516998E" w:rsidTr="001521EF">
        <w:trPr>
          <w:gridAfter w:val="1"/>
          <w:wAfter w:w="306" w:type="pct"/>
          <w:trHeight w:val="108"/>
          <w:jc w:val="center"/>
        </w:trPr>
        <w:tc>
          <w:tcPr>
            <w:tcW w:w="691" w:type="pct"/>
            <w:shd w:val="clear" w:color="auto" w:fill="auto"/>
            <w:vAlign w:val="center"/>
          </w:tcPr>
          <w:p w14:paraId="6428AC87" w14:textId="77777777" w:rsidR="001521EF" w:rsidRDefault="001521EF" w:rsidP="00205ABA">
            <w:pPr>
              <w:bidi w:val="0"/>
              <w:spacing w:after="0" w:line="240" w:lineRule="auto"/>
              <w:jc w:val="both"/>
              <w:rPr>
                <w:rFonts w:asciiTheme="majorBidi" w:hAnsiTheme="majorBidi" w:cstheme="majorBidi"/>
                <w:b/>
                <w:bCs/>
                <w:sz w:val="20"/>
                <w:szCs w:val="20"/>
              </w:rPr>
            </w:pPr>
          </w:p>
          <w:p w14:paraId="1073F750" w14:textId="77777777" w:rsidR="001521EF" w:rsidRDefault="001521EF" w:rsidP="00B1522D">
            <w:pPr>
              <w:bidi w:val="0"/>
              <w:spacing w:after="0" w:line="240" w:lineRule="auto"/>
              <w:jc w:val="both"/>
              <w:rPr>
                <w:rFonts w:asciiTheme="majorBidi" w:hAnsiTheme="majorBidi" w:cstheme="majorBidi"/>
                <w:b/>
                <w:bCs/>
                <w:sz w:val="20"/>
                <w:szCs w:val="20"/>
              </w:rPr>
            </w:pPr>
            <w:r w:rsidRPr="00B1522D">
              <w:rPr>
                <w:rFonts w:asciiTheme="majorBidi" w:hAnsiTheme="majorBidi" w:cstheme="majorBidi"/>
                <w:b/>
                <w:bCs/>
                <w:sz w:val="20"/>
                <w:szCs w:val="20"/>
              </w:rPr>
              <w:t>ALT (U/L)</w:t>
            </w:r>
          </w:p>
          <w:p w14:paraId="076FAA96" w14:textId="62146892" w:rsidR="001521EF" w:rsidRPr="001A5200" w:rsidRDefault="001521EF" w:rsidP="00B1522D">
            <w:pPr>
              <w:bidi w:val="0"/>
              <w:spacing w:after="0" w:line="240" w:lineRule="auto"/>
              <w:jc w:val="both"/>
              <w:rPr>
                <w:rFonts w:asciiTheme="majorBidi" w:hAnsiTheme="majorBidi" w:cstheme="majorBidi"/>
                <w:b/>
                <w:bCs/>
                <w:sz w:val="20"/>
                <w:szCs w:val="20"/>
              </w:rPr>
            </w:pPr>
          </w:p>
        </w:tc>
        <w:tc>
          <w:tcPr>
            <w:tcW w:w="546" w:type="pct"/>
            <w:shd w:val="clear" w:color="auto" w:fill="auto"/>
            <w:vAlign w:val="center"/>
          </w:tcPr>
          <w:p w14:paraId="61EFF36A" w14:textId="77777777" w:rsidR="001521EF" w:rsidRDefault="001521EF" w:rsidP="00205ABA">
            <w:pPr>
              <w:bidi w:val="0"/>
              <w:spacing w:after="0" w:line="240" w:lineRule="auto"/>
              <w:jc w:val="both"/>
              <w:rPr>
                <w:rFonts w:asciiTheme="majorBidi" w:hAnsiTheme="majorBidi" w:cstheme="majorBidi"/>
                <w:b/>
                <w:bCs/>
                <w:sz w:val="20"/>
                <w:szCs w:val="20"/>
              </w:rPr>
            </w:pPr>
          </w:p>
          <w:p w14:paraId="12111591" w14:textId="0B06930D" w:rsidR="001521EF" w:rsidRPr="001A5200" w:rsidRDefault="001521EF" w:rsidP="00B1522D">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Median </w:t>
            </w:r>
            <w:r w:rsidRPr="001521EF">
              <w:rPr>
                <w:rFonts w:asciiTheme="majorBidi" w:hAnsiTheme="majorBidi" w:cstheme="majorBidi"/>
                <w:b/>
                <w:bCs/>
                <w:sz w:val="20"/>
                <w:szCs w:val="20"/>
              </w:rPr>
              <w:t>(range)</w:t>
            </w:r>
          </w:p>
        </w:tc>
        <w:tc>
          <w:tcPr>
            <w:tcW w:w="729" w:type="pct"/>
            <w:shd w:val="clear" w:color="auto" w:fill="auto"/>
            <w:vAlign w:val="center"/>
          </w:tcPr>
          <w:p w14:paraId="69E87EA3" w14:textId="77777777" w:rsidR="001521EF" w:rsidRDefault="001521EF" w:rsidP="00205ABA">
            <w:pPr>
              <w:bidi w:val="0"/>
              <w:spacing w:after="0" w:line="240" w:lineRule="auto"/>
              <w:jc w:val="center"/>
              <w:rPr>
                <w:rFonts w:asciiTheme="majorBidi" w:hAnsiTheme="majorBidi" w:cstheme="majorBidi"/>
                <w:sz w:val="20"/>
                <w:szCs w:val="20"/>
              </w:rPr>
            </w:pPr>
          </w:p>
          <w:p w14:paraId="513886CA" w14:textId="5028A29D" w:rsidR="001521EF" w:rsidRPr="001A5200" w:rsidRDefault="001521EF" w:rsidP="001521EF">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30 (17 - 66</w:t>
            </w:r>
            <w:r w:rsidRPr="001521EF">
              <w:rPr>
                <w:rFonts w:asciiTheme="majorBidi" w:hAnsiTheme="majorBidi" w:cstheme="majorBidi"/>
                <w:sz w:val="20"/>
                <w:szCs w:val="20"/>
              </w:rPr>
              <w:t>)</w:t>
            </w:r>
          </w:p>
        </w:tc>
        <w:tc>
          <w:tcPr>
            <w:tcW w:w="472" w:type="pct"/>
            <w:gridSpan w:val="2"/>
            <w:shd w:val="clear" w:color="auto" w:fill="auto"/>
            <w:vAlign w:val="center"/>
          </w:tcPr>
          <w:p w14:paraId="0097CA61" w14:textId="77777777" w:rsidR="001521EF" w:rsidRDefault="001521EF" w:rsidP="00205ABA">
            <w:pPr>
              <w:bidi w:val="0"/>
              <w:spacing w:after="0" w:line="240" w:lineRule="auto"/>
              <w:jc w:val="center"/>
              <w:rPr>
                <w:rFonts w:asciiTheme="majorBidi" w:hAnsiTheme="majorBidi" w:cstheme="majorBidi"/>
                <w:sz w:val="20"/>
                <w:szCs w:val="20"/>
              </w:rPr>
            </w:pPr>
          </w:p>
          <w:p w14:paraId="3B9B0BC9" w14:textId="2E8D277C" w:rsidR="001521EF" w:rsidRPr="001A5200" w:rsidRDefault="001521EF" w:rsidP="00205ABA">
            <w:pPr>
              <w:bidi w:val="0"/>
              <w:spacing w:after="0" w:line="240" w:lineRule="auto"/>
              <w:jc w:val="center"/>
              <w:rPr>
                <w:rFonts w:asciiTheme="majorBidi" w:hAnsiTheme="majorBidi" w:cstheme="majorBidi"/>
                <w:sz w:val="20"/>
                <w:szCs w:val="20"/>
              </w:rPr>
            </w:pPr>
          </w:p>
        </w:tc>
        <w:tc>
          <w:tcPr>
            <w:tcW w:w="775" w:type="pct"/>
            <w:gridSpan w:val="2"/>
            <w:shd w:val="clear" w:color="auto" w:fill="auto"/>
            <w:vAlign w:val="center"/>
          </w:tcPr>
          <w:p w14:paraId="780C4F06" w14:textId="77777777" w:rsidR="001521EF" w:rsidRDefault="001521EF" w:rsidP="001521EF">
            <w:pPr>
              <w:bidi w:val="0"/>
              <w:spacing w:after="0" w:line="240" w:lineRule="auto"/>
              <w:rPr>
                <w:rFonts w:asciiTheme="majorBidi" w:hAnsiTheme="majorBidi" w:cstheme="majorBidi"/>
                <w:sz w:val="20"/>
                <w:szCs w:val="20"/>
              </w:rPr>
            </w:pPr>
          </w:p>
          <w:p w14:paraId="461FE979" w14:textId="2A0F27BD" w:rsidR="001521EF" w:rsidRPr="001A5200" w:rsidRDefault="001521EF" w:rsidP="001521EF">
            <w:pPr>
              <w:bidi w:val="0"/>
              <w:spacing w:after="0" w:line="240" w:lineRule="auto"/>
              <w:rPr>
                <w:rFonts w:asciiTheme="majorBidi" w:hAnsiTheme="majorBidi" w:cstheme="majorBidi"/>
                <w:sz w:val="20"/>
                <w:szCs w:val="20"/>
              </w:rPr>
            </w:pPr>
            <w:r>
              <w:rPr>
                <w:rFonts w:asciiTheme="majorBidi" w:hAnsiTheme="majorBidi" w:cstheme="majorBidi"/>
                <w:sz w:val="20"/>
                <w:szCs w:val="20"/>
              </w:rPr>
              <w:t xml:space="preserve">23 (12 </w:t>
            </w:r>
            <w:r w:rsidRPr="001521EF">
              <w:rPr>
                <w:rFonts w:asciiTheme="majorBidi" w:hAnsiTheme="majorBidi" w:cstheme="majorBidi"/>
                <w:sz w:val="20"/>
                <w:szCs w:val="20"/>
              </w:rPr>
              <w:t>43)</w:t>
            </w:r>
          </w:p>
        </w:tc>
        <w:tc>
          <w:tcPr>
            <w:tcW w:w="922" w:type="pct"/>
            <w:gridSpan w:val="3"/>
            <w:shd w:val="clear" w:color="auto" w:fill="auto"/>
          </w:tcPr>
          <w:p w14:paraId="08AAAE2F" w14:textId="77777777" w:rsidR="001521EF" w:rsidRDefault="001521EF" w:rsidP="001521EF">
            <w:pPr>
              <w:bidi w:val="0"/>
              <w:spacing w:after="0" w:line="240" w:lineRule="auto"/>
              <w:jc w:val="center"/>
              <w:rPr>
                <w:rFonts w:asciiTheme="majorBidi" w:hAnsiTheme="majorBidi" w:cstheme="majorBidi"/>
                <w:b/>
                <w:bCs/>
                <w:sz w:val="20"/>
                <w:szCs w:val="20"/>
              </w:rPr>
            </w:pPr>
          </w:p>
          <w:p w14:paraId="028F41DB" w14:textId="77777777" w:rsidR="001521EF" w:rsidRDefault="001521EF" w:rsidP="001521EF">
            <w:pPr>
              <w:bidi w:val="0"/>
              <w:spacing w:after="0" w:line="240" w:lineRule="auto"/>
              <w:jc w:val="center"/>
              <w:rPr>
                <w:rFonts w:asciiTheme="majorBidi" w:hAnsiTheme="majorBidi" w:cstheme="majorBidi"/>
                <w:b/>
                <w:bCs/>
                <w:sz w:val="20"/>
                <w:szCs w:val="20"/>
              </w:rPr>
            </w:pPr>
          </w:p>
          <w:p w14:paraId="514C9D6C" w14:textId="323BDFBF" w:rsidR="001521EF" w:rsidRDefault="001521EF" w:rsidP="001521EF">
            <w:pPr>
              <w:bidi w:val="0"/>
              <w:spacing w:after="0" w:line="240" w:lineRule="auto"/>
              <w:jc w:val="center"/>
              <w:rPr>
                <w:rFonts w:asciiTheme="majorBidi" w:hAnsiTheme="majorBidi" w:cstheme="majorBidi"/>
                <w:b/>
                <w:bCs/>
                <w:sz w:val="20"/>
                <w:szCs w:val="20"/>
              </w:rPr>
            </w:pPr>
            <w:r w:rsidRPr="001521EF">
              <w:rPr>
                <w:rFonts w:asciiTheme="majorBidi" w:hAnsiTheme="majorBidi" w:cstheme="majorBidi"/>
                <w:b/>
                <w:bCs/>
                <w:sz w:val="20"/>
                <w:szCs w:val="20"/>
              </w:rPr>
              <w:t>Z = -1.832</w:t>
            </w:r>
          </w:p>
          <w:p w14:paraId="0340299B" w14:textId="79140796" w:rsidR="001521EF" w:rsidRPr="001A5200" w:rsidRDefault="001521EF" w:rsidP="00205ABA">
            <w:pPr>
              <w:bidi w:val="0"/>
              <w:spacing w:after="0" w:line="240" w:lineRule="auto"/>
              <w:jc w:val="center"/>
              <w:rPr>
                <w:rFonts w:asciiTheme="majorBidi" w:hAnsiTheme="majorBidi" w:cstheme="majorBidi"/>
                <w:sz w:val="20"/>
                <w:szCs w:val="20"/>
              </w:rPr>
            </w:pPr>
          </w:p>
        </w:tc>
        <w:tc>
          <w:tcPr>
            <w:tcW w:w="559" w:type="pct"/>
            <w:vAlign w:val="bottom"/>
          </w:tcPr>
          <w:p w14:paraId="7F0DDD89" w14:textId="51F8C1D6" w:rsidR="001521EF" w:rsidRPr="001A5200" w:rsidRDefault="001521EF">
            <w:pPr>
              <w:bidi w:val="0"/>
            </w:pPr>
            <w:r w:rsidRPr="001521EF">
              <w:rPr>
                <w:rFonts w:asciiTheme="majorBidi" w:hAnsiTheme="majorBidi" w:cstheme="majorBidi"/>
                <w:b/>
                <w:bCs/>
                <w:sz w:val="20"/>
                <w:szCs w:val="20"/>
              </w:rPr>
              <w:t>0.067</w:t>
            </w:r>
          </w:p>
        </w:tc>
      </w:tr>
      <w:tr w:rsidR="001521EF" w:rsidRPr="001A5200" w14:paraId="6EA4B1E9" w14:textId="4F310C54" w:rsidTr="001521EF">
        <w:trPr>
          <w:gridAfter w:val="1"/>
          <w:wAfter w:w="306" w:type="pct"/>
          <w:trHeight w:val="108"/>
          <w:jc w:val="center"/>
        </w:trPr>
        <w:tc>
          <w:tcPr>
            <w:tcW w:w="691" w:type="pct"/>
            <w:shd w:val="clear" w:color="auto" w:fill="auto"/>
            <w:vAlign w:val="center"/>
          </w:tcPr>
          <w:p w14:paraId="75E1EF89" w14:textId="1A8471A7" w:rsidR="001521EF" w:rsidRDefault="001521EF" w:rsidP="001521EF">
            <w:pPr>
              <w:bidi w:val="0"/>
              <w:spacing w:after="0" w:line="240" w:lineRule="auto"/>
              <w:jc w:val="both"/>
              <w:rPr>
                <w:rFonts w:asciiTheme="majorBidi" w:hAnsiTheme="majorBidi" w:cstheme="majorBidi"/>
                <w:b/>
                <w:bCs/>
                <w:sz w:val="20"/>
                <w:szCs w:val="20"/>
              </w:rPr>
            </w:pPr>
            <w:r w:rsidRPr="001521EF">
              <w:rPr>
                <w:rFonts w:asciiTheme="majorBidi" w:hAnsiTheme="majorBidi" w:cstheme="majorBidi"/>
                <w:b/>
                <w:bCs/>
                <w:sz w:val="20"/>
                <w:szCs w:val="20"/>
              </w:rPr>
              <w:t>AST (U/L)</w:t>
            </w:r>
          </w:p>
        </w:tc>
        <w:tc>
          <w:tcPr>
            <w:tcW w:w="546" w:type="pct"/>
            <w:shd w:val="clear" w:color="auto" w:fill="auto"/>
            <w:vAlign w:val="center"/>
          </w:tcPr>
          <w:p w14:paraId="77AF43E4" w14:textId="1F5291BC" w:rsidR="001521EF" w:rsidRDefault="001521EF" w:rsidP="001521EF">
            <w:pPr>
              <w:bidi w:val="0"/>
              <w:spacing w:after="0" w:line="240" w:lineRule="auto"/>
              <w:jc w:val="both"/>
              <w:rPr>
                <w:rFonts w:asciiTheme="majorBidi" w:hAnsiTheme="majorBidi" w:cstheme="majorBidi"/>
                <w:b/>
                <w:bCs/>
                <w:sz w:val="20"/>
                <w:szCs w:val="20"/>
              </w:rPr>
            </w:pPr>
            <w:r w:rsidRPr="001521EF">
              <w:rPr>
                <w:rFonts w:asciiTheme="majorBidi" w:hAnsiTheme="majorBidi" w:cstheme="majorBidi"/>
                <w:b/>
                <w:bCs/>
                <w:sz w:val="20"/>
                <w:szCs w:val="20"/>
              </w:rPr>
              <w:t>Median (range)</w:t>
            </w:r>
          </w:p>
        </w:tc>
        <w:tc>
          <w:tcPr>
            <w:tcW w:w="729" w:type="pct"/>
            <w:shd w:val="clear" w:color="auto" w:fill="auto"/>
            <w:vAlign w:val="center"/>
          </w:tcPr>
          <w:p w14:paraId="19CC7C0A" w14:textId="3CF64E87" w:rsidR="001521EF" w:rsidRDefault="001521EF" w:rsidP="001521EF">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rPr>
              <w:t>28 (15 - 98</w:t>
            </w:r>
            <w:r w:rsidRPr="001521EF">
              <w:rPr>
                <w:rFonts w:asciiTheme="majorBidi" w:hAnsiTheme="majorBidi" w:cstheme="majorBidi"/>
                <w:sz w:val="20"/>
                <w:szCs w:val="20"/>
              </w:rPr>
              <w:t>)</w:t>
            </w:r>
          </w:p>
        </w:tc>
        <w:tc>
          <w:tcPr>
            <w:tcW w:w="472" w:type="pct"/>
            <w:gridSpan w:val="2"/>
            <w:shd w:val="clear" w:color="auto" w:fill="auto"/>
            <w:vAlign w:val="center"/>
          </w:tcPr>
          <w:p w14:paraId="54BF4900" w14:textId="77777777" w:rsidR="001521EF" w:rsidRDefault="001521EF" w:rsidP="00205ABA">
            <w:pPr>
              <w:bidi w:val="0"/>
              <w:spacing w:after="0" w:line="240" w:lineRule="auto"/>
              <w:jc w:val="center"/>
              <w:rPr>
                <w:rFonts w:asciiTheme="majorBidi" w:hAnsiTheme="majorBidi" w:cstheme="majorBidi"/>
                <w:sz w:val="20"/>
                <w:szCs w:val="20"/>
              </w:rPr>
            </w:pPr>
          </w:p>
        </w:tc>
        <w:tc>
          <w:tcPr>
            <w:tcW w:w="775" w:type="pct"/>
            <w:gridSpan w:val="2"/>
            <w:shd w:val="clear" w:color="auto" w:fill="auto"/>
            <w:vAlign w:val="center"/>
          </w:tcPr>
          <w:p w14:paraId="496055C6" w14:textId="6E6FDAFA" w:rsidR="001521EF" w:rsidRPr="001A5200" w:rsidRDefault="001521EF" w:rsidP="001521EF">
            <w:pPr>
              <w:bidi w:val="0"/>
              <w:spacing w:after="0" w:line="240" w:lineRule="auto"/>
              <w:rPr>
                <w:rFonts w:asciiTheme="majorBidi" w:hAnsiTheme="majorBidi" w:cstheme="majorBidi"/>
                <w:sz w:val="20"/>
                <w:szCs w:val="20"/>
              </w:rPr>
            </w:pPr>
            <w:r>
              <w:rPr>
                <w:rFonts w:asciiTheme="majorBidi" w:hAnsiTheme="majorBidi" w:cstheme="majorBidi"/>
                <w:sz w:val="20"/>
                <w:szCs w:val="20"/>
              </w:rPr>
              <w:t>26 (11-</w:t>
            </w:r>
            <w:r w:rsidRPr="001521EF">
              <w:rPr>
                <w:rFonts w:asciiTheme="majorBidi" w:hAnsiTheme="majorBidi" w:cstheme="majorBidi"/>
                <w:sz w:val="20"/>
                <w:szCs w:val="20"/>
              </w:rPr>
              <w:t>48)</w:t>
            </w:r>
          </w:p>
        </w:tc>
        <w:tc>
          <w:tcPr>
            <w:tcW w:w="922" w:type="pct"/>
            <w:gridSpan w:val="3"/>
            <w:shd w:val="clear" w:color="auto" w:fill="auto"/>
          </w:tcPr>
          <w:p w14:paraId="0FC75F6E" w14:textId="21C2E17F" w:rsidR="001521EF" w:rsidRDefault="001521EF" w:rsidP="001521EF">
            <w:pPr>
              <w:bidi w:val="0"/>
              <w:spacing w:after="0" w:line="240" w:lineRule="auto"/>
              <w:rPr>
                <w:rFonts w:asciiTheme="majorBidi" w:hAnsiTheme="majorBidi" w:cstheme="majorBidi"/>
                <w:b/>
                <w:bCs/>
                <w:sz w:val="20"/>
                <w:szCs w:val="20"/>
              </w:rPr>
            </w:pPr>
            <w:r>
              <w:rPr>
                <w:rFonts w:asciiTheme="majorBidi" w:hAnsiTheme="majorBidi" w:cstheme="majorBidi"/>
                <w:b/>
                <w:bCs/>
                <w:sz w:val="20"/>
                <w:szCs w:val="20"/>
              </w:rPr>
              <w:t xml:space="preserve">      </w:t>
            </w:r>
            <w:r w:rsidRPr="001521EF">
              <w:rPr>
                <w:rFonts w:asciiTheme="majorBidi" w:hAnsiTheme="majorBidi" w:cstheme="majorBidi"/>
                <w:b/>
                <w:bCs/>
                <w:sz w:val="20"/>
                <w:szCs w:val="20"/>
              </w:rPr>
              <w:t>Z = -0.7</w:t>
            </w:r>
            <w:r>
              <w:rPr>
                <w:rFonts w:asciiTheme="majorBidi" w:hAnsiTheme="majorBidi" w:cstheme="majorBidi"/>
                <w:b/>
                <w:bCs/>
                <w:sz w:val="20"/>
                <w:szCs w:val="20"/>
              </w:rPr>
              <w:t>87</w:t>
            </w:r>
          </w:p>
        </w:tc>
        <w:tc>
          <w:tcPr>
            <w:tcW w:w="559" w:type="pct"/>
            <w:vAlign w:val="bottom"/>
          </w:tcPr>
          <w:p w14:paraId="27B2C756" w14:textId="494F22DC" w:rsidR="001521EF" w:rsidRPr="001521EF" w:rsidRDefault="001521EF" w:rsidP="001521EF">
            <w:pPr>
              <w:bidi w:val="0"/>
              <w:rPr>
                <w:rFonts w:asciiTheme="majorBidi" w:hAnsiTheme="majorBidi" w:cstheme="majorBidi"/>
                <w:b/>
                <w:bCs/>
                <w:sz w:val="20"/>
                <w:szCs w:val="20"/>
              </w:rPr>
            </w:pPr>
            <w:r w:rsidRPr="001521EF">
              <w:rPr>
                <w:rFonts w:asciiTheme="majorBidi" w:hAnsiTheme="majorBidi" w:cstheme="majorBidi"/>
                <w:b/>
                <w:bCs/>
                <w:sz w:val="20"/>
                <w:szCs w:val="20"/>
              </w:rPr>
              <w:t>0.4</w:t>
            </w:r>
            <w:r>
              <w:rPr>
                <w:rFonts w:asciiTheme="majorBidi" w:hAnsiTheme="majorBidi" w:cstheme="majorBidi"/>
                <w:b/>
                <w:bCs/>
                <w:sz w:val="20"/>
                <w:szCs w:val="20"/>
              </w:rPr>
              <w:t>3</w:t>
            </w:r>
          </w:p>
        </w:tc>
      </w:tr>
    </w:tbl>
    <w:p w14:paraId="64F1D94B" w14:textId="77777777"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6C9B3895" w14:textId="2DE5521D" w:rsidR="00EB640B" w:rsidRPr="001A5200" w:rsidRDefault="00EB795A" w:rsidP="00AD0350">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lastRenderedPageBreak/>
        <w:t>The results are considered significant when the p-value is less than 0.05 and highly significant when the p-valu</w:t>
      </w:r>
      <w:r w:rsidR="00AD0350">
        <w:rPr>
          <w:rFonts w:asciiTheme="majorBidi" w:hAnsiTheme="majorBidi" w:cstheme="majorBidi"/>
          <w:sz w:val="20"/>
          <w:szCs w:val="20"/>
        </w:rPr>
        <w:t>e is less than 0.01</w:t>
      </w:r>
      <w:r w:rsidRPr="001A5200">
        <w:rPr>
          <w:rFonts w:asciiTheme="majorBidi" w:hAnsiTheme="majorBidi" w:cstheme="majorBidi"/>
          <w:sz w:val="20"/>
          <w:szCs w:val="20"/>
        </w:rPr>
        <w:t>.</w:t>
      </w:r>
    </w:p>
    <w:p w14:paraId="41AB1C1B" w14:textId="77777777" w:rsidR="00EB11B1" w:rsidRPr="001A5200" w:rsidRDefault="00EB11B1" w:rsidP="00505EA3">
      <w:pPr>
        <w:bidi w:val="0"/>
        <w:spacing w:after="0" w:line="240" w:lineRule="auto"/>
        <w:jc w:val="both"/>
        <w:rPr>
          <w:rFonts w:asciiTheme="majorBidi" w:hAnsiTheme="majorBidi" w:cstheme="majorBidi"/>
          <w:b/>
          <w:bCs/>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15E03AC2" w14:textId="6C7B766C" w:rsidR="00EB640B" w:rsidRPr="00D65590" w:rsidRDefault="00D65590" w:rsidP="00190EBE">
      <w:pPr>
        <w:bidi w:val="0"/>
        <w:spacing w:before="120" w:after="120" w:line="240" w:lineRule="auto"/>
        <w:jc w:val="both"/>
        <w:rPr>
          <w:rFonts w:asciiTheme="majorBidi" w:hAnsiTheme="majorBidi" w:cstheme="majorBidi"/>
          <w:sz w:val="20"/>
          <w:szCs w:val="20"/>
        </w:rPr>
      </w:pPr>
      <w:r w:rsidRPr="001A5200">
        <w:rPr>
          <w:rFonts w:asciiTheme="majorBidi" w:hAnsiTheme="majorBidi" w:cstheme="majorBidi"/>
          <w:b/>
          <w:bCs/>
          <w:sz w:val="20"/>
          <w:szCs w:val="20"/>
        </w:rPr>
        <w:lastRenderedPageBreak/>
        <w:t xml:space="preserve">Table </w:t>
      </w:r>
      <w:r>
        <w:rPr>
          <w:rFonts w:asciiTheme="majorBidi" w:hAnsiTheme="majorBidi" w:cstheme="majorBidi"/>
          <w:b/>
          <w:bCs/>
          <w:sz w:val="20"/>
          <w:szCs w:val="20"/>
        </w:rPr>
        <w:t>(</w:t>
      </w:r>
      <w:r w:rsidRPr="001A5200">
        <w:rPr>
          <w:rFonts w:asciiTheme="majorBidi" w:hAnsiTheme="majorBidi" w:cstheme="majorBidi"/>
          <w:b/>
          <w:bCs/>
          <w:sz w:val="20"/>
          <w:szCs w:val="20"/>
        </w:rPr>
        <w:t>4)</w:t>
      </w:r>
      <w:r>
        <w:rPr>
          <w:rFonts w:asciiTheme="majorBidi" w:hAnsiTheme="majorBidi" w:cstheme="majorBidi"/>
          <w:b/>
          <w:bCs/>
          <w:sz w:val="20"/>
          <w:szCs w:val="20"/>
        </w:rPr>
        <w:t xml:space="preserve"> </w:t>
      </w:r>
      <w:r w:rsidR="00190EBE">
        <w:rPr>
          <w:rFonts w:asciiTheme="majorBidi" w:hAnsiTheme="majorBidi" w:cstheme="majorBidi"/>
          <w:sz w:val="20"/>
          <w:szCs w:val="20"/>
        </w:rPr>
        <w:t>m</w:t>
      </w:r>
      <w:r w:rsidR="00EB795A" w:rsidRPr="00D65590">
        <w:rPr>
          <w:rFonts w:asciiTheme="majorBidi" w:hAnsiTheme="majorBidi" w:cstheme="majorBidi"/>
          <w:sz w:val="20"/>
          <w:szCs w:val="20"/>
        </w:rPr>
        <w:t>i</w:t>
      </w:r>
      <w:r w:rsidR="00190EBE">
        <w:rPr>
          <w:rFonts w:asciiTheme="majorBidi" w:hAnsiTheme="majorBidi" w:cstheme="majorBidi"/>
          <w:sz w:val="20"/>
          <w:szCs w:val="20"/>
        </w:rPr>
        <w:t>R</w:t>
      </w:r>
      <w:r w:rsidR="00EB795A" w:rsidRPr="00D65590">
        <w:rPr>
          <w:rFonts w:asciiTheme="majorBidi" w:hAnsiTheme="majorBidi" w:cstheme="majorBidi"/>
          <w:sz w:val="20"/>
          <w:szCs w:val="20"/>
        </w:rPr>
        <w:t>-</w:t>
      </w:r>
      <w:r w:rsidR="00AD0350">
        <w:rPr>
          <w:rFonts w:asciiTheme="majorBidi" w:hAnsiTheme="majorBidi" w:cstheme="majorBidi"/>
          <w:sz w:val="20"/>
          <w:szCs w:val="20"/>
        </w:rPr>
        <w:t>7</w:t>
      </w:r>
      <w:r w:rsidR="00EB795A" w:rsidRPr="00D65590">
        <w:rPr>
          <w:rFonts w:asciiTheme="majorBidi" w:hAnsiTheme="majorBidi" w:cstheme="majorBidi"/>
          <w:sz w:val="20"/>
          <w:szCs w:val="20"/>
        </w:rPr>
        <w:t xml:space="preserve"> in the three groups that were investigated </w:t>
      </w:r>
    </w:p>
    <w:tbl>
      <w:tblPr>
        <w:tblW w:w="4153" w:type="pct"/>
        <w:jc w:val="center"/>
        <w:tblBorders>
          <w:top w:val="single" w:sz="4" w:space="0" w:color="auto"/>
          <w:bottom w:val="single" w:sz="4" w:space="0" w:color="auto"/>
        </w:tblBorders>
        <w:tblLook w:val="04A0" w:firstRow="1" w:lastRow="0" w:firstColumn="1" w:lastColumn="0" w:noHBand="0" w:noVBand="1"/>
      </w:tblPr>
      <w:tblGrid>
        <w:gridCol w:w="876"/>
        <w:gridCol w:w="1358"/>
        <w:gridCol w:w="1544"/>
        <w:gridCol w:w="2058"/>
        <w:gridCol w:w="1032"/>
        <w:gridCol w:w="1534"/>
      </w:tblGrid>
      <w:tr w:rsidR="00AD0350" w:rsidRPr="001A5200" w14:paraId="7D9A1FA8" w14:textId="77777777" w:rsidTr="00AD0350">
        <w:trPr>
          <w:trHeight w:val="127"/>
          <w:jc w:val="center"/>
        </w:trPr>
        <w:tc>
          <w:tcPr>
            <w:tcW w:w="1329" w:type="pct"/>
            <w:gridSpan w:val="2"/>
            <w:tcBorders>
              <w:top w:val="single" w:sz="4" w:space="0" w:color="auto"/>
              <w:bottom w:val="single" w:sz="4" w:space="0" w:color="auto"/>
            </w:tcBorders>
            <w:shd w:val="clear" w:color="auto" w:fill="auto"/>
          </w:tcPr>
          <w:p w14:paraId="21ABCC2D" w14:textId="77777777" w:rsidR="00AD0350" w:rsidRPr="001A5200" w:rsidRDefault="00AD0350" w:rsidP="00505EA3">
            <w:pPr>
              <w:bidi w:val="0"/>
              <w:spacing w:after="0" w:line="240" w:lineRule="auto"/>
              <w:jc w:val="both"/>
              <w:rPr>
                <w:rFonts w:asciiTheme="majorBidi" w:hAnsiTheme="majorBidi" w:cstheme="majorBidi"/>
                <w:b/>
                <w:bCs/>
                <w:i/>
                <w:iCs/>
                <w:sz w:val="20"/>
                <w:szCs w:val="20"/>
              </w:rPr>
            </w:pPr>
          </w:p>
        </w:tc>
        <w:tc>
          <w:tcPr>
            <w:tcW w:w="919" w:type="pct"/>
            <w:tcBorders>
              <w:top w:val="single" w:sz="4" w:space="0" w:color="auto"/>
              <w:bottom w:val="single" w:sz="4" w:space="0" w:color="auto"/>
            </w:tcBorders>
            <w:shd w:val="clear" w:color="auto" w:fill="auto"/>
            <w:vAlign w:val="center"/>
            <w:hideMark/>
          </w:tcPr>
          <w:p w14:paraId="56C4A5E0" w14:textId="23A71D17" w:rsidR="00AD0350" w:rsidRPr="001A5200" w:rsidRDefault="00AD0350" w:rsidP="00505EA3">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CRC</w:t>
            </w:r>
            <w:r w:rsidRPr="001A5200">
              <w:rPr>
                <w:rFonts w:asciiTheme="majorBidi" w:hAnsiTheme="majorBidi" w:cstheme="majorBidi"/>
                <w:b/>
                <w:bCs/>
                <w:sz w:val="20"/>
                <w:szCs w:val="20"/>
              </w:rPr>
              <w:t xml:space="preserve"> group</w:t>
            </w:r>
          </w:p>
          <w:p w14:paraId="511C5FCF" w14:textId="7079E257" w:rsidR="00AD0350" w:rsidRPr="001A5200" w:rsidRDefault="00AD0350" w:rsidP="00AD0350">
            <w:pPr>
              <w:bidi w:val="0"/>
              <w:spacing w:after="0" w:line="240" w:lineRule="auto"/>
              <w:jc w:val="both"/>
              <w:rPr>
                <w:rFonts w:asciiTheme="majorBidi" w:hAnsiTheme="majorBidi" w:cstheme="majorBidi"/>
                <w:b/>
                <w:bCs/>
                <w:sz w:val="20"/>
                <w:szCs w:val="20"/>
              </w:rPr>
            </w:pPr>
            <w:r w:rsidRPr="00AD0350">
              <w:rPr>
                <w:rFonts w:asciiTheme="majorBidi" w:hAnsiTheme="majorBidi" w:cstheme="majorBidi"/>
                <w:b/>
                <w:bCs/>
                <w:sz w:val="20"/>
                <w:szCs w:val="20"/>
              </w:rPr>
              <w:t>(N=45)</w:t>
            </w:r>
          </w:p>
        </w:tc>
        <w:tc>
          <w:tcPr>
            <w:tcW w:w="1225" w:type="pct"/>
            <w:tcBorders>
              <w:top w:val="single" w:sz="4" w:space="0" w:color="auto"/>
              <w:bottom w:val="single" w:sz="4" w:space="0" w:color="auto"/>
            </w:tcBorders>
            <w:shd w:val="clear" w:color="auto" w:fill="auto"/>
            <w:vAlign w:val="center"/>
            <w:hideMark/>
          </w:tcPr>
          <w:p w14:paraId="476A0A68" w14:textId="77777777" w:rsidR="00AD0350" w:rsidRPr="001A5200" w:rsidRDefault="00AD0350"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Control group</w:t>
            </w:r>
          </w:p>
          <w:p w14:paraId="4A1E1A50" w14:textId="74D62713" w:rsidR="00AD0350" w:rsidRPr="001A5200" w:rsidRDefault="00AD0350" w:rsidP="00AD0350">
            <w:pPr>
              <w:bidi w:val="0"/>
              <w:spacing w:after="0" w:line="240" w:lineRule="auto"/>
              <w:jc w:val="both"/>
              <w:rPr>
                <w:rFonts w:asciiTheme="majorBidi" w:hAnsiTheme="majorBidi" w:cstheme="majorBidi"/>
                <w:b/>
                <w:bCs/>
                <w:sz w:val="20"/>
                <w:szCs w:val="20"/>
              </w:rPr>
            </w:pPr>
            <w:r w:rsidRPr="00AD0350">
              <w:rPr>
                <w:rFonts w:asciiTheme="majorBidi" w:hAnsiTheme="majorBidi" w:cstheme="majorBidi"/>
                <w:b/>
                <w:bCs/>
                <w:sz w:val="20"/>
                <w:szCs w:val="20"/>
              </w:rPr>
              <w:t>(N=45)</w:t>
            </w:r>
          </w:p>
        </w:tc>
        <w:tc>
          <w:tcPr>
            <w:tcW w:w="614" w:type="pct"/>
            <w:tcBorders>
              <w:top w:val="single" w:sz="4" w:space="0" w:color="auto"/>
              <w:bottom w:val="single" w:sz="4" w:space="0" w:color="auto"/>
            </w:tcBorders>
            <w:shd w:val="clear" w:color="auto" w:fill="auto"/>
            <w:vAlign w:val="center"/>
            <w:hideMark/>
          </w:tcPr>
          <w:p w14:paraId="7FE45A6E" w14:textId="77777777" w:rsidR="00AD0350" w:rsidRPr="001A5200" w:rsidRDefault="00AD0350"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Test value</w:t>
            </w:r>
          </w:p>
        </w:tc>
        <w:tc>
          <w:tcPr>
            <w:tcW w:w="913" w:type="pct"/>
            <w:tcBorders>
              <w:top w:val="single" w:sz="4" w:space="0" w:color="auto"/>
              <w:bottom w:val="single" w:sz="4" w:space="0" w:color="auto"/>
            </w:tcBorders>
            <w:shd w:val="clear" w:color="auto" w:fill="auto"/>
            <w:vAlign w:val="center"/>
            <w:hideMark/>
          </w:tcPr>
          <w:p w14:paraId="766E3953" w14:textId="77777777" w:rsidR="00AD0350" w:rsidRPr="001A5200" w:rsidRDefault="00AD0350" w:rsidP="00505EA3">
            <w:pPr>
              <w:bidi w:val="0"/>
              <w:spacing w:after="0" w:line="240" w:lineRule="auto"/>
              <w:jc w:val="both"/>
              <w:rPr>
                <w:rFonts w:asciiTheme="majorBidi" w:hAnsiTheme="majorBidi" w:cstheme="majorBidi"/>
                <w:b/>
                <w:bCs/>
                <w:sz w:val="20"/>
                <w:szCs w:val="20"/>
              </w:rPr>
            </w:pPr>
            <w:r w:rsidRPr="001A5200">
              <w:rPr>
                <w:rFonts w:asciiTheme="majorBidi" w:hAnsiTheme="majorBidi" w:cstheme="majorBidi"/>
                <w:b/>
                <w:bCs/>
                <w:sz w:val="20"/>
                <w:szCs w:val="20"/>
              </w:rPr>
              <w:t>P-value</w:t>
            </w:r>
          </w:p>
        </w:tc>
      </w:tr>
      <w:tr w:rsidR="00AD0350" w:rsidRPr="001A5200" w14:paraId="1477DEB2" w14:textId="77777777" w:rsidTr="00AD0350">
        <w:trPr>
          <w:trHeight w:val="127"/>
          <w:jc w:val="center"/>
        </w:trPr>
        <w:tc>
          <w:tcPr>
            <w:tcW w:w="521" w:type="pct"/>
            <w:tcBorders>
              <w:top w:val="single" w:sz="4" w:space="0" w:color="auto"/>
            </w:tcBorders>
            <w:shd w:val="clear" w:color="auto" w:fill="auto"/>
            <w:vAlign w:val="center"/>
            <w:hideMark/>
          </w:tcPr>
          <w:p w14:paraId="2A708094" w14:textId="403E9B02" w:rsidR="00AD0350" w:rsidRPr="001A5200" w:rsidRDefault="00190EBE" w:rsidP="00190EBE">
            <w:pPr>
              <w:bidi w:val="0"/>
              <w:spacing w:after="0" w:line="240" w:lineRule="auto"/>
              <w:jc w:val="both"/>
              <w:rPr>
                <w:rFonts w:asciiTheme="majorBidi" w:hAnsiTheme="majorBidi" w:cstheme="majorBidi"/>
                <w:b/>
                <w:bCs/>
                <w:i/>
                <w:iCs/>
                <w:sz w:val="20"/>
                <w:szCs w:val="20"/>
              </w:rPr>
            </w:pPr>
            <w:r w:rsidRPr="00190EBE">
              <w:rPr>
                <w:rFonts w:asciiTheme="majorBidi" w:hAnsiTheme="majorBidi" w:cstheme="majorBidi"/>
                <w:b/>
                <w:bCs/>
                <w:sz w:val="20"/>
                <w:szCs w:val="20"/>
              </w:rPr>
              <w:t xml:space="preserve">miR-7 </w:t>
            </w:r>
          </w:p>
        </w:tc>
        <w:tc>
          <w:tcPr>
            <w:tcW w:w="808" w:type="pct"/>
            <w:tcBorders>
              <w:top w:val="single" w:sz="4" w:space="0" w:color="auto"/>
            </w:tcBorders>
            <w:shd w:val="clear" w:color="auto" w:fill="auto"/>
            <w:vAlign w:val="center"/>
            <w:hideMark/>
          </w:tcPr>
          <w:p w14:paraId="390188BB" w14:textId="04943211" w:rsidR="00AD0350" w:rsidRPr="001A5200" w:rsidRDefault="00AD0350" w:rsidP="00AD0350">
            <w:pPr>
              <w:bidi w:val="0"/>
              <w:spacing w:after="0" w:line="240" w:lineRule="auto"/>
              <w:jc w:val="both"/>
              <w:rPr>
                <w:rFonts w:asciiTheme="majorBidi" w:hAnsiTheme="majorBidi" w:cstheme="majorBidi"/>
                <w:sz w:val="20"/>
                <w:szCs w:val="20"/>
              </w:rPr>
            </w:pPr>
            <w:r w:rsidRPr="00AD0350">
              <w:rPr>
                <w:rFonts w:asciiTheme="majorBidi" w:hAnsiTheme="majorBidi" w:cstheme="majorBidi"/>
                <w:b/>
                <w:bCs/>
                <w:sz w:val="20"/>
                <w:szCs w:val="20"/>
              </w:rPr>
              <w:t>Median (range)</w:t>
            </w:r>
          </w:p>
        </w:tc>
        <w:tc>
          <w:tcPr>
            <w:tcW w:w="919" w:type="pct"/>
            <w:tcBorders>
              <w:top w:val="single" w:sz="4" w:space="0" w:color="auto"/>
            </w:tcBorders>
            <w:shd w:val="clear" w:color="auto" w:fill="auto"/>
            <w:vAlign w:val="center"/>
            <w:hideMark/>
          </w:tcPr>
          <w:p w14:paraId="0AE7350B" w14:textId="6538613A" w:rsidR="00AD0350" w:rsidRPr="001A5200" w:rsidRDefault="00A12070" w:rsidP="00A12070">
            <w:pPr>
              <w:bidi w:val="0"/>
              <w:spacing w:after="0" w:line="240" w:lineRule="auto"/>
              <w:jc w:val="both"/>
              <w:rPr>
                <w:rFonts w:asciiTheme="majorBidi" w:hAnsiTheme="majorBidi" w:cstheme="majorBidi"/>
                <w:sz w:val="20"/>
                <w:szCs w:val="20"/>
              </w:rPr>
            </w:pPr>
            <w:r w:rsidRPr="00A12070">
              <w:rPr>
                <w:rFonts w:asciiTheme="majorBidi" w:hAnsiTheme="majorBidi" w:cstheme="majorBidi"/>
                <w:sz w:val="20"/>
                <w:szCs w:val="20"/>
              </w:rPr>
              <w:t>0.</w:t>
            </w:r>
            <w:r>
              <w:rPr>
                <w:rFonts w:asciiTheme="majorBidi" w:hAnsiTheme="majorBidi" w:cstheme="majorBidi"/>
                <w:sz w:val="20"/>
                <w:szCs w:val="20"/>
              </w:rPr>
              <w:t>51</w:t>
            </w:r>
            <w:r w:rsidRPr="00A12070">
              <w:rPr>
                <w:rFonts w:asciiTheme="majorBidi" w:hAnsiTheme="majorBidi" w:cstheme="majorBidi"/>
                <w:sz w:val="20"/>
                <w:szCs w:val="20"/>
              </w:rPr>
              <w:t xml:space="preserve"> (0.</w:t>
            </w:r>
            <w:r>
              <w:rPr>
                <w:rFonts w:asciiTheme="majorBidi" w:hAnsiTheme="majorBidi" w:cstheme="majorBidi"/>
                <w:sz w:val="20"/>
                <w:szCs w:val="20"/>
              </w:rPr>
              <w:t>4</w:t>
            </w:r>
            <w:r w:rsidRPr="00A12070">
              <w:rPr>
                <w:rFonts w:asciiTheme="majorBidi" w:hAnsiTheme="majorBidi" w:cstheme="majorBidi"/>
                <w:sz w:val="20"/>
                <w:szCs w:val="20"/>
              </w:rPr>
              <w:t xml:space="preserve"> - 0.</w:t>
            </w:r>
            <w:r>
              <w:rPr>
                <w:rFonts w:asciiTheme="majorBidi" w:hAnsiTheme="majorBidi" w:cstheme="majorBidi"/>
                <w:sz w:val="20"/>
                <w:szCs w:val="20"/>
              </w:rPr>
              <w:t>7</w:t>
            </w:r>
            <w:r w:rsidRPr="00A12070">
              <w:rPr>
                <w:rFonts w:asciiTheme="majorBidi" w:hAnsiTheme="majorBidi" w:cstheme="majorBidi"/>
                <w:sz w:val="20"/>
                <w:szCs w:val="20"/>
              </w:rPr>
              <w:t>)</w:t>
            </w:r>
          </w:p>
        </w:tc>
        <w:tc>
          <w:tcPr>
            <w:tcW w:w="1225" w:type="pct"/>
            <w:tcBorders>
              <w:top w:val="single" w:sz="4" w:space="0" w:color="auto"/>
            </w:tcBorders>
            <w:shd w:val="clear" w:color="auto" w:fill="auto"/>
            <w:vAlign w:val="center"/>
            <w:hideMark/>
          </w:tcPr>
          <w:p w14:paraId="5F5FACAB" w14:textId="1CC751C9" w:rsidR="00AD0350" w:rsidRPr="001A5200" w:rsidRDefault="00A12070" w:rsidP="00A12070">
            <w:pPr>
              <w:bidi w:val="0"/>
              <w:spacing w:after="0" w:line="240" w:lineRule="auto"/>
              <w:jc w:val="both"/>
              <w:rPr>
                <w:rFonts w:asciiTheme="majorBidi" w:hAnsiTheme="majorBidi" w:cstheme="majorBidi"/>
                <w:sz w:val="20"/>
                <w:szCs w:val="20"/>
              </w:rPr>
            </w:pPr>
            <w:r w:rsidRPr="00A12070">
              <w:rPr>
                <w:rFonts w:asciiTheme="majorBidi" w:hAnsiTheme="majorBidi" w:cstheme="majorBidi"/>
                <w:sz w:val="20"/>
                <w:szCs w:val="20"/>
              </w:rPr>
              <w:t>0.</w:t>
            </w:r>
            <w:r>
              <w:rPr>
                <w:rFonts w:asciiTheme="majorBidi" w:hAnsiTheme="majorBidi" w:cstheme="majorBidi"/>
                <w:sz w:val="20"/>
                <w:szCs w:val="20"/>
              </w:rPr>
              <w:t>8</w:t>
            </w:r>
            <w:r w:rsidRPr="00A12070">
              <w:rPr>
                <w:rFonts w:asciiTheme="majorBidi" w:hAnsiTheme="majorBidi" w:cstheme="majorBidi"/>
                <w:sz w:val="20"/>
                <w:szCs w:val="20"/>
              </w:rPr>
              <w:t xml:space="preserve"> (0.</w:t>
            </w:r>
            <w:r>
              <w:rPr>
                <w:rFonts w:asciiTheme="majorBidi" w:hAnsiTheme="majorBidi" w:cstheme="majorBidi"/>
                <w:sz w:val="20"/>
                <w:szCs w:val="20"/>
              </w:rPr>
              <w:t>4</w:t>
            </w:r>
            <w:r w:rsidRPr="00A12070">
              <w:rPr>
                <w:rFonts w:asciiTheme="majorBidi" w:hAnsiTheme="majorBidi" w:cstheme="majorBidi"/>
                <w:sz w:val="20"/>
                <w:szCs w:val="20"/>
              </w:rPr>
              <w:t xml:space="preserve"> - 2.</w:t>
            </w:r>
            <w:r>
              <w:rPr>
                <w:rFonts w:asciiTheme="majorBidi" w:hAnsiTheme="majorBidi" w:cstheme="majorBidi"/>
                <w:sz w:val="20"/>
                <w:szCs w:val="20"/>
              </w:rPr>
              <w:t>9</w:t>
            </w:r>
            <w:r w:rsidRPr="00A12070">
              <w:rPr>
                <w:rFonts w:asciiTheme="majorBidi" w:hAnsiTheme="majorBidi" w:cstheme="majorBidi"/>
                <w:sz w:val="20"/>
                <w:szCs w:val="20"/>
              </w:rPr>
              <w:t>)</w:t>
            </w:r>
          </w:p>
        </w:tc>
        <w:tc>
          <w:tcPr>
            <w:tcW w:w="614" w:type="pct"/>
            <w:tcBorders>
              <w:top w:val="single" w:sz="4" w:space="0" w:color="auto"/>
            </w:tcBorders>
            <w:shd w:val="clear" w:color="auto" w:fill="auto"/>
            <w:vAlign w:val="center"/>
            <w:hideMark/>
          </w:tcPr>
          <w:p w14:paraId="746FFFC6" w14:textId="02FD7EA0" w:rsidR="00AD0350" w:rsidRPr="001A5200" w:rsidRDefault="00A12070" w:rsidP="00A12070">
            <w:pPr>
              <w:bidi w:val="0"/>
              <w:spacing w:after="0" w:line="240" w:lineRule="auto"/>
              <w:jc w:val="both"/>
              <w:rPr>
                <w:rFonts w:asciiTheme="majorBidi" w:hAnsiTheme="majorBidi" w:cstheme="majorBidi"/>
                <w:sz w:val="20"/>
                <w:szCs w:val="20"/>
              </w:rPr>
            </w:pPr>
            <w:r w:rsidRPr="00A12070">
              <w:rPr>
                <w:rFonts w:asciiTheme="majorBidi" w:hAnsiTheme="majorBidi" w:cstheme="majorBidi"/>
                <w:sz w:val="20"/>
                <w:szCs w:val="20"/>
              </w:rPr>
              <w:t>Z =-5.</w:t>
            </w:r>
            <w:r>
              <w:rPr>
                <w:rFonts w:asciiTheme="majorBidi" w:hAnsiTheme="majorBidi" w:cstheme="majorBidi"/>
                <w:sz w:val="20"/>
                <w:szCs w:val="20"/>
              </w:rPr>
              <w:t>921</w:t>
            </w:r>
          </w:p>
        </w:tc>
        <w:tc>
          <w:tcPr>
            <w:tcW w:w="913" w:type="pct"/>
            <w:tcBorders>
              <w:top w:val="single" w:sz="4" w:space="0" w:color="auto"/>
            </w:tcBorders>
            <w:shd w:val="clear" w:color="auto" w:fill="auto"/>
            <w:vAlign w:val="center"/>
            <w:hideMark/>
          </w:tcPr>
          <w:p w14:paraId="51EF601E" w14:textId="77777777" w:rsidR="00A12070" w:rsidRDefault="00A12070" w:rsidP="00505EA3">
            <w:pPr>
              <w:bidi w:val="0"/>
              <w:spacing w:after="0" w:line="240" w:lineRule="auto"/>
              <w:jc w:val="both"/>
              <w:rPr>
                <w:rFonts w:asciiTheme="majorBidi" w:hAnsiTheme="majorBidi" w:cstheme="majorBidi"/>
                <w:b/>
                <w:sz w:val="20"/>
                <w:szCs w:val="20"/>
              </w:rPr>
            </w:pPr>
          </w:p>
          <w:p w14:paraId="07B43F1A" w14:textId="77777777" w:rsidR="00AD0350" w:rsidRPr="001A5200" w:rsidRDefault="00AD0350" w:rsidP="00A12070">
            <w:pPr>
              <w:bidi w:val="0"/>
              <w:spacing w:after="0" w:line="240" w:lineRule="auto"/>
              <w:jc w:val="both"/>
              <w:rPr>
                <w:rFonts w:asciiTheme="majorBidi" w:hAnsiTheme="majorBidi" w:cstheme="majorBidi"/>
                <w:b/>
                <w:sz w:val="20"/>
                <w:szCs w:val="20"/>
              </w:rPr>
            </w:pPr>
            <w:r w:rsidRPr="001A5200">
              <w:rPr>
                <w:rFonts w:asciiTheme="majorBidi" w:hAnsiTheme="majorBidi" w:cstheme="majorBidi"/>
                <w:b/>
                <w:sz w:val="20"/>
                <w:szCs w:val="20"/>
              </w:rPr>
              <w:t>&lt;0.001</w:t>
            </w:r>
          </w:p>
          <w:p w14:paraId="5806B5C3" w14:textId="7C3EFDB3" w:rsidR="00AD0350" w:rsidRPr="001A5200" w:rsidRDefault="00AD0350" w:rsidP="00AD0350">
            <w:pPr>
              <w:bidi w:val="0"/>
              <w:spacing w:after="0" w:line="240" w:lineRule="auto"/>
              <w:jc w:val="both"/>
              <w:rPr>
                <w:rFonts w:asciiTheme="majorBidi" w:hAnsiTheme="majorBidi" w:cstheme="majorBidi"/>
                <w:sz w:val="20"/>
                <w:szCs w:val="20"/>
              </w:rPr>
            </w:pPr>
          </w:p>
        </w:tc>
      </w:tr>
    </w:tbl>
    <w:p w14:paraId="3877288C" w14:textId="77777777" w:rsidR="00EB11B1" w:rsidRPr="001A5200" w:rsidRDefault="00EB11B1" w:rsidP="00505EA3">
      <w:pPr>
        <w:bidi w:val="0"/>
        <w:spacing w:after="0" w:line="240" w:lineRule="auto"/>
        <w:jc w:val="both"/>
        <w:rPr>
          <w:rFonts w:asciiTheme="majorBidi" w:hAnsiTheme="majorBidi" w:cstheme="majorBidi"/>
          <w:sz w:val="20"/>
          <w:szCs w:val="20"/>
        </w:rPr>
        <w:sectPr w:rsidR="00EB11B1" w:rsidRPr="001A5200" w:rsidSect="00E8712B">
          <w:type w:val="continuous"/>
          <w:pgSz w:w="11909" w:h="16834" w:code="9"/>
          <w:pgMar w:top="1440" w:right="929" w:bottom="1440" w:left="1080" w:header="720" w:footer="720" w:gutter="0"/>
          <w:cols w:space="720"/>
          <w:docGrid w:linePitch="360"/>
        </w:sectPr>
      </w:pPr>
    </w:p>
    <w:p w14:paraId="46A85E2A" w14:textId="518C7B3A" w:rsidR="00F540FC" w:rsidRDefault="00EB795A" w:rsidP="00A12070">
      <w:pPr>
        <w:bidi w:val="0"/>
        <w:spacing w:after="0" w:line="240" w:lineRule="auto"/>
        <w:jc w:val="both"/>
        <w:rPr>
          <w:rFonts w:asciiTheme="majorBidi" w:hAnsiTheme="majorBidi" w:cstheme="majorBidi"/>
          <w:sz w:val="20"/>
          <w:szCs w:val="20"/>
        </w:rPr>
      </w:pPr>
      <w:r w:rsidRPr="001A5200">
        <w:rPr>
          <w:rFonts w:asciiTheme="majorBidi" w:hAnsiTheme="majorBidi" w:cstheme="majorBidi"/>
          <w:sz w:val="20"/>
          <w:szCs w:val="20"/>
        </w:rPr>
        <w:lastRenderedPageBreak/>
        <w:t>Statistical significance is defined as a p-value of less than or equal to 0.05, with a p-value of less than or equal to 0.01 being highly significant. The analysis was co</w:t>
      </w:r>
      <w:r w:rsidR="00A12070">
        <w:rPr>
          <w:rFonts w:asciiTheme="majorBidi" w:hAnsiTheme="majorBidi" w:cstheme="majorBidi"/>
          <w:sz w:val="20"/>
          <w:szCs w:val="20"/>
        </w:rPr>
        <w:t>nducted using the F-ANOVA test.</w:t>
      </w:r>
    </w:p>
    <w:p w14:paraId="5DB13CC1" w14:textId="77777777" w:rsidR="001A5200" w:rsidRPr="001A5200" w:rsidRDefault="001A5200" w:rsidP="00505EA3">
      <w:pPr>
        <w:bidi w:val="0"/>
        <w:spacing w:after="0" w:line="240" w:lineRule="auto"/>
        <w:jc w:val="both"/>
        <w:rPr>
          <w:rFonts w:asciiTheme="majorBidi" w:hAnsiTheme="majorBidi" w:cstheme="majorBidi"/>
          <w:sz w:val="20"/>
          <w:szCs w:val="20"/>
        </w:rPr>
      </w:pPr>
    </w:p>
    <w:p w14:paraId="6115E0E0" w14:textId="77777777" w:rsidR="00373C01" w:rsidRPr="001A5200" w:rsidRDefault="00373C01" w:rsidP="00505EA3">
      <w:pPr>
        <w:tabs>
          <w:tab w:val="center" w:pos="4680"/>
        </w:tabs>
        <w:bidi w:val="0"/>
        <w:spacing w:after="0" w:line="240" w:lineRule="auto"/>
        <w:jc w:val="both"/>
        <w:rPr>
          <w:rFonts w:asciiTheme="majorBidi" w:eastAsia="Calibri" w:hAnsiTheme="majorBidi" w:cstheme="majorBidi"/>
          <w:b/>
          <w:bCs/>
          <w:sz w:val="20"/>
          <w:szCs w:val="20"/>
        </w:rPr>
        <w:sectPr w:rsidR="00373C01" w:rsidRPr="001A5200" w:rsidSect="00E8712B">
          <w:type w:val="continuous"/>
          <w:pgSz w:w="11909" w:h="16834" w:code="9"/>
          <w:pgMar w:top="1440" w:right="929" w:bottom="1440" w:left="1080" w:header="720" w:footer="720" w:gutter="0"/>
          <w:cols w:space="720"/>
          <w:docGrid w:linePitch="360"/>
        </w:sectPr>
      </w:pPr>
    </w:p>
    <w:p w14:paraId="3361342F" w14:textId="737496AC" w:rsidR="00C407B7" w:rsidRPr="001A5200" w:rsidRDefault="008A22B5" w:rsidP="00505EA3">
      <w:pPr>
        <w:tabs>
          <w:tab w:val="center" w:pos="4680"/>
        </w:tabs>
        <w:bidi w:val="0"/>
        <w:spacing w:after="0" w:line="240" w:lineRule="auto"/>
        <w:jc w:val="both"/>
        <w:rPr>
          <w:rFonts w:asciiTheme="majorBidi" w:eastAsia="Calibri" w:hAnsiTheme="majorBidi" w:cstheme="majorBidi"/>
          <w:b/>
          <w:bCs/>
          <w:sz w:val="20"/>
          <w:szCs w:val="20"/>
        </w:rPr>
      </w:pPr>
      <w:r w:rsidRPr="001A5200">
        <w:rPr>
          <w:rFonts w:asciiTheme="majorBidi" w:eastAsia="Calibri" w:hAnsiTheme="majorBidi" w:cstheme="majorBidi"/>
          <w:b/>
          <w:bCs/>
          <w:sz w:val="20"/>
          <w:szCs w:val="20"/>
        </w:rPr>
        <w:lastRenderedPageBreak/>
        <w:t>5.Discussion</w:t>
      </w:r>
    </w:p>
    <w:p w14:paraId="13EAC377"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In terms of mortality, colorectal cancer (CRC) is the second most frequent cancer worldwide [13]. In industrialized nations, CRC primarily affects individuals 50 years of age or older and affects men and women of all racial and ethnic backgrounds [15].  High-income nations have greater incidence rates of colorectal cancer (CRC) than low-to-middle-income countries (LMICs); nevertheless, LMICs have higher death rates [1]. This might be due to disparities in health care structure, financial resources, and screening infrastructure, as well as the fact that incidence is underreported in LMICs due to a lack of early diagnosis and access to cancer registries [14]. Environmental and/or genetic factors can raise the risk of getting colorectal cancer. Age over 50, poor socioeconomic status, overweight and obesity, a sedentary lifestyle, tobacco use, and excessive alcohol use are some of the risk factors for colorectal cancer</w:t>
      </w:r>
      <w:r w:rsidRPr="00995EF1">
        <w:rPr>
          <w:rFonts w:asciiTheme="majorBidi" w:hAnsiTheme="majorBidi" w:cs="Times New Roman"/>
          <w:sz w:val="20"/>
          <w:szCs w:val="20"/>
          <w:shd w:val="clear" w:color="auto" w:fill="FFFFFF"/>
          <w:rtl/>
        </w:rPr>
        <w:t xml:space="preserve"> [16].</w:t>
      </w:r>
    </w:p>
    <w:p w14:paraId="30595FC8"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Chromosome 15 contains miR-7, a member of the miRNA family. Different tumor types express miR-7 differently [17]. In the human A529 non-small cell lung cancer cell line, Xiong et al. found that elevated expression of miR-7 suppresses cell growth and invasion</w:t>
      </w:r>
      <w:r w:rsidRPr="00995EF1">
        <w:rPr>
          <w:rFonts w:asciiTheme="majorBidi" w:hAnsiTheme="majorBidi" w:cs="Times New Roman"/>
          <w:sz w:val="20"/>
          <w:szCs w:val="20"/>
          <w:shd w:val="clear" w:color="auto" w:fill="FFFFFF"/>
          <w:rtl/>
        </w:rPr>
        <w:t xml:space="preserve"> [18].</w:t>
      </w:r>
    </w:p>
    <w:p w14:paraId="6FBC544B"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In this study, the control group's mean age was 54 ±8 years, whereas the CRC patients' mean age was 57 ±13 years. The CRC patients ranged in age from 44.0 to 66.0, whereas the control group was between 36.0 and 69.0 years old</w:t>
      </w:r>
      <w:r w:rsidRPr="00995EF1">
        <w:rPr>
          <w:rFonts w:asciiTheme="majorBidi" w:hAnsiTheme="majorBidi" w:cs="Times New Roman"/>
          <w:sz w:val="20"/>
          <w:szCs w:val="20"/>
          <w:shd w:val="clear" w:color="auto" w:fill="FFFFFF"/>
          <w:rtl/>
        </w:rPr>
        <w:t>.</w:t>
      </w:r>
      <w:bookmarkStart w:id="7" w:name="_GoBack"/>
      <w:bookmarkEnd w:id="7"/>
    </w:p>
    <w:p w14:paraId="26FABCE1"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According to Zeng et al., the average age of CRC patients was 26 years under 60 and 32 years over 60. This suggests that the risk of CRC is increased over 60 with no discernible changes</w:t>
      </w:r>
      <w:r w:rsidRPr="00995EF1">
        <w:rPr>
          <w:rFonts w:asciiTheme="majorBidi" w:hAnsiTheme="majorBidi" w:cs="Times New Roman"/>
          <w:sz w:val="20"/>
          <w:szCs w:val="20"/>
          <w:shd w:val="clear" w:color="auto" w:fill="FFFFFF"/>
          <w:rtl/>
        </w:rPr>
        <w:t xml:space="preserve"> [19].</w:t>
      </w:r>
    </w:p>
    <w:p w14:paraId="7C2CD27C"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According to Bader El Din et al., all of the participants were between the ages of 25 and 65. The CRC patients were 48.7 ± 9.3 years old on average</w:t>
      </w:r>
      <w:r w:rsidRPr="00995EF1">
        <w:rPr>
          <w:rFonts w:asciiTheme="majorBidi" w:hAnsiTheme="majorBidi" w:cs="Times New Roman"/>
          <w:sz w:val="20"/>
          <w:szCs w:val="20"/>
          <w:shd w:val="clear" w:color="auto" w:fill="FFFFFF"/>
          <w:rtl/>
        </w:rPr>
        <w:t xml:space="preserve"> [20].</w:t>
      </w:r>
    </w:p>
    <w:p w14:paraId="5E93DB93"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lastRenderedPageBreak/>
        <w:t>With a median age of 73 years (IQR 66, 80), the age range was 40–97 years. Of the 106 patients, 106 (73%), had left-sided tumors, with 37 (26%) having sigmoid tumors and 44 (33% of the total) having rectal tumors. The caecum was the most frequent location, accounting for 17 of the 39 right-sided tumors (27%</w:t>
      </w:r>
      <w:r w:rsidRPr="00995EF1">
        <w:rPr>
          <w:rFonts w:asciiTheme="majorBidi" w:hAnsiTheme="majorBidi" w:cs="Times New Roman"/>
          <w:sz w:val="20"/>
          <w:szCs w:val="20"/>
          <w:shd w:val="clear" w:color="auto" w:fill="FFFFFF"/>
          <w:rtl/>
        </w:rPr>
        <w:t>). [21].</w:t>
      </w:r>
    </w:p>
    <w:p w14:paraId="695B9268" w14:textId="275795FF"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For every stage of diagnosis, patients with colorectal cancer (CRC) under 50 years of age have higher 5-year relative survival rates than their older counterparts. However, due to a later stage at diagnosis, overall survival for patients under 50 years of age (68%) is comparable to that of patients between 50 and 64 years of age (69%</w:t>
      </w:r>
      <w:r w:rsidRPr="00995EF1">
        <w:rPr>
          <w:rFonts w:asciiTheme="majorBidi" w:hAnsiTheme="majorBidi" w:cs="Times New Roman"/>
          <w:sz w:val="20"/>
          <w:szCs w:val="20"/>
          <w:shd w:val="clear" w:color="auto" w:fill="FFFFFF"/>
          <w:rtl/>
        </w:rPr>
        <w:t xml:space="preserve"> [1]. </w:t>
      </w:r>
    </w:p>
    <w:p w14:paraId="790C9138"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Given that there were 30 men and 15 women in the patient group and 26 men and 19 women in the control group in our study, there were no appreciable variations in the prevalence of CRC between the sexes</w:t>
      </w:r>
      <w:r w:rsidRPr="00995EF1">
        <w:rPr>
          <w:rFonts w:asciiTheme="majorBidi" w:hAnsiTheme="majorBidi" w:cs="Times New Roman"/>
          <w:sz w:val="20"/>
          <w:szCs w:val="20"/>
          <w:shd w:val="clear" w:color="auto" w:fill="FFFFFF"/>
          <w:rtl/>
        </w:rPr>
        <w:t>.</w:t>
      </w:r>
    </w:p>
    <w:p w14:paraId="722C11B1"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We found that the sick group's albumin levels were lower than the control group's (P &lt; 0.001). This is consistent with a research conducted by Walts et al. to look into the relationships between low albumin, a biomarker of inflammation, and the risk of colorectal cancer. The scientists discovered that a higher albumin standard deviation was linked to a lower risk of colorectal cancer</w:t>
      </w:r>
      <w:r w:rsidRPr="00995EF1">
        <w:rPr>
          <w:rFonts w:asciiTheme="majorBidi" w:hAnsiTheme="majorBidi" w:cs="Times New Roman"/>
          <w:sz w:val="20"/>
          <w:szCs w:val="20"/>
          <w:shd w:val="clear" w:color="auto" w:fill="FFFFFF"/>
          <w:rtl/>
        </w:rPr>
        <w:t xml:space="preserve"> [22].</w:t>
      </w:r>
    </w:p>
    <w:p w14:paraId="1FAFB95A"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The findings indicated that there were no appreciable differences between the groups under study in terms of smoking, diabetes, or hypertension</w:t>
      </w:r>
      <w:r w:rsidRPr="00995EF1">
        <w:rPr>
          <w:rFonts w:asciiTheme="majorBidi" w:hAnsiTheme="majorBidi" w:cs="Times New Roman"/>
          <w:sz w:val="20"/>
          <w:szCs w:val="20"/>
          <w:shd w:val="clear" w:color="auto" w:fill="FFFFFF"/>
          <w:rtl/>
        </w:rPr>
        <w:t>.</w:t>
      </w:r>
    </w:p>
    <w:p w14:paraId="33666386"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Walts et al. discovered no changes in smoking, hypertension, or diabetes mellitus between the CRC group and the control groups, which is in line with the current findings</w:t>
      </w:r>
      <w:r w:rsidRPr="00995EF1">
        <w:rPr>
          <w:rFonts w:asciiTheme="majorBidi" w:hAnsiTheme="majorBidi" w:cs="Times New Roman"/>
          <w:sz w:val="20"/>
          <w:szCs w:val="20"/>
          <w:shd w:val="clear" w:color="auto" w:fill="FFFFFF"/>
          <w:rtl/>
        </w:rPr>
        <w:t xml:space="preserve"> [22].</w:t>
      </w:r>
    </w:p>
    <w:p w14:paraId="7A04DD80"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Positive family history was found to be independently linked to colorectal cancer (CRC) (P = 0.04)</w:t>
      </w:r>
      <w:r w:rsidRPr="00995EF1">
        <w:rPr>
          <w:rFonts w:asciiTheme="majorBidi" w:hAnsiTheme="majorBidi" w:cs="Times New Roman"/>
          <w:sz w:val="20"/>
          <w:szCs w:val="20"/>
          <w:shd w:val="clear" w:color="auto" w:fill="FFFFFF"/>
          <w:rtl/>
        </w:rPr>
        <w:t xml:space="preserve">. </w:t>
      </w:r>
    </w:p>
    <w:p w14:paraId="27B25ED4"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lastRenderedPageBreak/>
        <w:t>This result is consistent with a research conducted by Far et al. to measure the risk of colorectal cancer in those with a positive family history. According to the scientists, the risk of developing colorectal cancer is 1.87 times higher for those with a positive family history of the disease</w:t>
      </w:r>
      <w:r w:rsidRPr="00995EF1">
        <w:rPr>
          <w:rFonts w:asciiTheme="majorBidi" w:hAnsiTheme="majorBidi" w:cs="Times New Roman"/>
          <w:sz w:val="20"/>
          <w:szCs w:val="20"/>
          <w:shd w:val="clear" w:color="auto" w:fill="FFFFFF"/>
          <w:rtl/>
        </w:rPr>
        <w:t xml:space="preserve"> [23].</w:t>
      </w:r>
    </w:p>
    <w:p w14:paraId="00ECB114"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According to our findings, miR-7 expression was much decreased in CRC (p&lt;0.001)</w:t>
      </w:r>
      <w:r w:rsidRPr="00995EF1">
        <w:rPr>
          <w:rFonts w:asciiTheme="majorBidi" w:hAnsiTheme="majorBidi" w:cs="Times New Roman"/>
          <w:sz w:val="20"/>
          <w:szCs w:val="20"/>
          <w:shd w:val="clear" w:color="auto" w:fill="FFFFFF"/>
          <w:rtl/>
        </w:rPr>
        <w:t>.</w:t>
      </w:r>
    </w:p>
    <w:p w14:paraId="1351F960" w14:textId="77777777" w:rsidR="00995EF1" w:rsidRPr="00995EF1" w:rsidRDefault="00995EF1" w:rsidP="003C6F75">
      <w:pPr>
        <w:bidi w:val="0"/>
        <w:spacing w:after="0" w:line="240" w:lineRule="auto"/>
        <w:ind w:firstLine="540"/>
        <w:jc w:val="both"/>
        <w:rPr>
          <w:rFonts w:asciiTheme="majorBidi" w:hAnsiTheme="majorBidi" w:cstheme="majorBidi"/>
          <w:sz w:val="20"/>
          <w:szCs w:val="20"/>
          <w:shd w:val="clear" w:color="auto" w:fill="FFFFFF"/>
        </w:rPr>
      </w:pPr>
      <w:r w:rsidRPr="00995EF1">
        <w:rPr>
          <w:rFonts w:asciiTheme="majorBidi" w:hAnsiTheme="majorBidi" w:cstheme="majorBidi"/>
          <w:sz w:val="20"/>
          <w:szCs w:val="20"/>
          <w:shd w:val="clear" w:color="auto" w:fill="FFFFFF"/>
        </w:rPr>
        <w:t>In line with other studies that found that CC tissues had lower levels of miR-7 expression than the matched neighboring normal tissues, and that this was connected with TNM stages and lymph node metastases in CC. In vitro research on miR-7 expression showed that it prevented CC cell lines from proliferating and invading. After transfection with miR-7, it was discovered that FAK's protein expression levels were considerably lower [19]. The findings aligned with a prior study that demonstrated miR-7 suppressed glioma development and metastasis by targeting a negative regulator of FAK [24]. By focusing on FAK protein expression, miR-7 suppressed the development and spread of breast cancer by blocking the epithelial-mesenchymal transition</w:t>
      </w:r>
      <w:r w:rsidRPr="00995EF1">
        <w:rPr>
          <w:rFonts w:asciiTheme="majorBidi" w:hAnsiTheme="majorBidi" w:cs="Times New Roman"/>
          <w:sz w:val="20"/>
          <w:szCs w:val="20"/>
          <w:shd w:val="clear" w:color="auto" w:fill="FFFFFF"/>
          <w:rtl/>
        </w:rPr>
        <w:t xml:space="preserve"> [25].</w:t>
      </w:r>
    </w:p>
    <w:p w14:paraId="25D29D9F" w14:textId="1BF5B09C" w:rsidR="00505EA3" w:rsidRDefault="00505EA3" w:rsidP="00505EA3">
      <w:pPr>
        <w:bidi w:val="0"/>
        <w:spacing w:after="0" w:line="240" w:lineRule="auto"/>
        <w:jc w:val="both"/>
        <w:rPr>
          <w:rFonts w:asciiTheme="majorBidi" w:hAnsiTheme="majorBidi" w:cstheme="majorBidi"/>
          <w:sz w:val="20"/>
          <w:szCs w:val="20"/>
          <w:lang w:bidi="ar-EG"/>
        </w:rPr>
      </w:pPr>
      <w:r w:rsidRPr="0072072B">
        <w:rPr>
          <w:rFonts w:asciiTheme="majorBidi" w:hAnsiTheme="majorBidi" w:cstheme="majorBidi"/>
          <w:b/>
          <w:bCs/>
          <w:noProof/>
          <w:sz w:val="20"/>
          <w:szCs w:val="20"/>
          <w:lang w:eastAsia="ar-SA"/>
        </w:rPr>
        <w:t>Conclusion</w:t>
      </w:r>
      <w:r w:rsidRPr="00D65590">
        <w:rPr>
          <w:rFonts w:asciiTheme="majorBidi" w:hAnsiTheme="majorBidi" w:cstheme="majorBidi"/>
          <w:sz w:val="20"/>
          <w:szCs w:val="20"/>
          <w:lang w:bidi="ar-EG"/>
        </w:rPr>
        <w:t xml:space="preserve"> </w:t>
      </w:r>
    </w:p>
    <w:p w14:paraId="71940D09" w14:textId="12BB49CB" w:rsidR="001A5200" w:rsidRDefault="00995EF1" w:rsidP="003C6F75">
      <w:pPr>
        <w:shd w:val="clear" w:color="auto" w:fill="FFFFFF"/>
        <w:bidi w:val="0"/>
        <w:spacing w:after="0" w:line="240" w:lineRule="auto"/>
        <w:ind w:firstLine="540"/>
        <w:jc w:val="both"/>
        <w:rPr>
          <w:rFonts w:asciiTheme="majorBidi" w:hAnsiTheme="majorBidi" w:cstheme="majorBidi"/>
          <w:b/>
          <w:bCs/>
          <w:sz w:val="20"/>
          <w:szCs w:val="20"/>
          <w:lang w:bidi="ar-EG"/>
        </w:rPr>
      </w:pPr>
      <w:r w:rsidRPr="00995EF1">
        <w:rPr>
          <w:rFonts w:asciiTheme="majorBidi" w:hAnsiTheme="majorBidi" w:cstheme="majorBidi"/>
          <w:sz w:val="20"/>
          <w:szCs w:val="20"/>
          <w:lang w:bidi="ar-EG"/>
        </w:rPr>
        <w:t>Based on earlier discussions, we came to the conclusion that miR-7 can be employed as an early diagnostic marker for colorectal cancer (CRC) patients.</w:t>
      </w:r>
    </w:p>
    <w:p w14:paraId="48E23C61" w14:textId="35615203" w:rsidR="00165D00" w:rsidRPr="001A5200" w:rsidRDefault="000802F5" w:rsidP="00505EA3">
      <w:pPr>
        <w:shd w:val="clear" w:color="auto" w:fill="FFFFFF"/>
        <w:bidi w:val="0"/>
        <w:spacing w:after="0" w:line="240" w:lineRule="auto"/>
        <w:jc w:val="both"/>
        <w:rPr>
          <w:rFonts w:asciiTheme="majorBidi" w:hAnsiTheme="majorBidi" w:cstheme="majorBidi"/>
          <w:b/>
          <w:bCs/>
          <w:sz w:val="20"/>
          <w:szCs w:val="20"/>
          <w:lang w:bidi="ar-EG"/>
        </w:rPr>
      </w:pPr>
      <w:r w:rsidRPr="001A5200">
        <w:rPr>
          <w:rFonts w:asciiTheme="majorBidi" w:hAnsiTheme="majorBidi" w:cstheme="majorBidi"/>
          <w:b/>
          <w:bCs/>
          <w:sz w:val="20"/>
          <w:szCs w:val="20"/>
          <w:lang w:bidi="ar-EG"/>
        </w:rPr>
        <w:t>References</w:t>
      </w:r>
    </w:p>
    <w:p w14:paraId="1559732B" w14:textId="66221587" w:rsidR="009F662C" w:rsidRPr="009F662C" w:rsidRDefault="00963A9C"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hAnsiTheme="majorBidi" w:cstheme="majorBidi"/>
          <w:sz w:val="20"/>
          <w:szCs w:val="20"/>
        </w:rPr>
        <w:t xml:space="preserve">Bray, F., </w:t>
      </w:r>
      <w:proofErr w:type="spellStart"/>
      <w:r w:rsidRPr="00963A9C">
        <w:rPr>
          <w:rFonts w:asciiTheme="majorBidi" w:hAnsiTheme="majorBidi" w:cstheme="majorBidi"/>
          <w:sz w:val="20"/>
          <w:szCs w:val="20"/>
        </w:rPr>
        <w:t>Ferlay</w:t>
      </w:r>
      <w:proofErr w:type="spellEnd"/>
      <w:r w:rsidRPr="00963A9C">
        <w:rPr>
          <w:rFonts w:asciiTheme="majorBidi" w:hAnsiTheme="majorBidi" w:cstheme="majorBidi"/>
          <w:sz w:val="20"/>
          <w:szCs w:val="20"/>
        </w:rPr>
        <w:t xml:space="preserve">, J., </w:t>
      </w:r>
      <w:proofErr w:type="spellStart"/>
      <w:r w:rsidRPr="00963A9C">
        <w:rPr>
          <w:rFonts w:asciiTheme="majorBidi" w:hAnsiTheme="majorBidi" w:cstheme="majorBidi"/>
          <w:sz w:val="20"/>
          <w:szCs w:val="20"/>
        </w:rPr>
        <w:t>Soerjomataram</w:t>
      </w:r>
      <w:proofErr w:type="spellEnd"/>
      <w:r w:rsidRPr="00963A9C">
        <w:rPr>
          <w:rFonts w:asciiTheme="majorBidi" w:hAnsiTheme="majorBidi" w:cstheme="majorBidi"/>
          <w:sz w:val="20"/>
          <w:szCs w:val="20"/>
        </w:rPr>
        <w:t>, I., Siegel, R. L., Torre, L. A., &amp; Jemal, A. (2018). Global cancer statistics 2018: GLOBOCAN estimates of incidence and mortality worldwide for 36 cancers in 185 countries. </w:t>
      </w:r>
      <w:r w:rsidRPr="00963A9C">
        <w:rPr>
          <w:rFonts w:asciiTheme="majorBidi" w:hAnsiTheme="majorBidi" w:cstheme="majorBidi"/>
          <w:i/>
          <w:iCs/>
          <w:sz w:val="20"/>
          <w:szCs w:val="20"/>
        </w:rPr>
        <w:t>CA: a cancer journal for clinicians</w:t>
      </w:r>
      <w:r w:rsidRPr="00963A9C">
        <w:rPr>
          <w:rFonts w:asciiTheme="majorBidi" w:hAnsiTheme="majorBidi" w:cstheme="majorBidi"/>
          <w:sz w:val="20"/>
          <w:szCs w:val="20"/>
        </w:rPr>
        <w:t>, </w:t>
      </w:r>
      <w:r w:rsidRPr="00963A9C">
        <w:rPr>
          <w:rFonts w:asciiTheme="majorBidi" w:hAnsiTheme="majorBidi" w:cstheme="majorBidi"/>
          <w:i/>
          <w:iCs/>
          <w:sz w:val="20"/>
          <w:szCs w:val="20"/>
        </w:rPr>
        <w:t>68</w:t>
      </w:r>
      <w:r w:rsidRPr="00963A9C">
        <w:rPr>
          <w:rFonts w:asciiTheme="majorBidi" w:hAnsiTheme="majorBidi" w:cstheme="majorBidi"/>
          <w:sz w:val="20"/>
          <w:szCs w:val="20"/>
        </w:rPr>
        <w:t>(6), 394-424.</w:t>
      </w:r>
    </w:p>
    <w:p w14:paraId="2358ECF9" w14:textId="77777777" w:rsidR="00963A9C" w:rsidRPr="00963A9C" w:rsidRDefault="007E0B34"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hAnsiTheme="majorBidi" w:cstheme="majorBidi"/>
          <w:sz w:val="20"/>
          <w:szCs w:val="20"/>
        </w:rPr>
        <w:t xml:space="preserve"> </w:t>
      </w:r>
      <w:r w:rsidR="00963A9C" w:rsidRPr="00963A9C">
        <w:rPr>
          <w:rFonts w:asciiTheme="majorBidi" w:hAnsiTheme="majorBidi" w:cstheme="majorBidi"/>
          <w:sz w:val="20"/>
          <w:szCs w:val="20"/>
        </w:rPr>
        <w:t>Johnson, C. M., Wei, C., Ensor, J. E., Smolenski, D. J., Amos, C. I., Levin, B., &amp; Berry, D. A. (2013). Meta-analyses of colorectal cancer risk factors. </w:t>
      </w:r>
      <w:r w:rsidR="00963A9C" w:rsidRPr="00963A9C">
        <w:rPr>
          <w:rFonts w:asciiTheme="majorBidi" w:hAnsiTheme="majorBidi" w:cstheme="majorBidi"/>
          <w:i/>
          <w:iCs/>
          <w:sz w:val="20"/>
          <w:szCs w:val="20"/>
        </w:rPr>
        <w:t>Cancer causes &amp; control</w:t>
      </w:r>
      <w:r w:rsidR="00963A9C" w:rsidRPr="00963A9C">
        <w:rPr>
          <w:rFonts w:asciiTheme="majorBidi" w:hAnsiTheme="majorBidi" w:cstheme="majorBidi"/>
          <w:sz w:val="20"/>
          <w:szCs w:val="20"/>
        </w:rPr>
        <w:t>, </w:t>
      </w:r>
      <w:r w:rsidR="00963A9C" w:rsidRPr="00963A9C">
        <w:rPr>
          <w:rFonts w:asciiTheme="majorBidi" w:hAnsiTheme="majorBidi" w:cstheme="majorBidi"/>
          <w:i/>
          <w:iCs/>
          <w:sz w:val="20"/>
          <w:szCs w:val="20"/>
        </w:rPr>
        <w:t>24</w:t>
      </w:r>
      <w:r w:rsidR="00963A9C" w:rsidRPr="00963A9C">
        <w:rPr>
          <w:rFonts w:asciiTheme="majorBidi" w:hAnsiTheme="majorBidi" w:cstheme="majorBidi"/>
          <w:sz w:val="20"/>
          <w:szCs w:val="20"/>
        </w:rPr>
        <w:t>, 1207-1222.</w:t>
      </w:r>
    </w:p>
    <w:p w14:paraId="7086B02C" w14:textId="76B2DCBF" w:rsidR="00EA189D" w:rsidRPr="00963A9C" w:rsidRDefault="00EA189D"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eastAsia="Calibri" w:hAnsiTheme="majorBidi" w:cstheme="majorBidi"/>
          <w:sz w:val="20"/>
          <w:szCs w:val="20"/>
          <w:lang w:bidi="ar-EG"/>
        </w:rPr>
        <w:t xml:space="preserve"> </w:t>
      </w:r>
      <w:r w:rsidR="00963A9C" w:rsidRPr="00963A9C">
        <w:rPr>
          <w:rFonts w:asciiTheme="majorBidi" w:eastAsia="Calibri" w:hAnsiTheme="majorBidi" w:cstheme="majorBidi"/>
          <w:sz w:val="20"/>
          <w:szCs w:val="20"/>
          <w:lang w:bidi="ar-EG"/>
        </w:rPr>
        <w:t xml:space="preserve">Arnold, M., Sierra, M. S., </w:t>
      </w:r>
      <w:proofErr w:type="spellStart"/>
      <w:r w:rsidR="00963A9C" w:rsidRPr="00963A9C">
        <w:rPr>
          <w:rFonts w:asciiTheme="majorBidi" w:eastAsia="Calibri" w:hAnsiTheme="majorBidi" w:cstheme="majorBidi"/>
          <w:sz w:val="20"/>
          <w:szCs w:val="20"/>
          <w:lang w:bidi="ar-EG"/>
        </w:rPr>
        <w:t>Laversanne</w:t>
      </w:r>
      <w:proofErr w:type="spellEnd"/>
      <w:r w:rsidR="00963A9C" w:rsidRPr="00963A9C">
        <w:rPr>
          <w:rFonts w:asciiTheme="majorBidi" w:eastAsia="Calibri" w:hAnsiTheme="majorBidi" w:cstheme="majorBidi"/>
          <w:sz w:val="20"/>
          <w:szCs w:val="20"/>
          <w:lang w:bidi="ar-EG"/>
        </w:rPr>
        <w:t xml:space="preserve">, M., </w:t>
      </w:r>
      <w:proofErr w:type="spellStart"/>
      <w:r w:rsidR="00963A9C" w:rsidRPr="00963A9C">
        <w:rPr>
          <w:rFonts w:asciiTheme="majorBidi" w:eastAsia="Calibri" w:hAnsiTheme="majorBidi" w:cstheme="majorBidi"/>
          <w:sz w:val="20"/>
          <w:szCs w:val="20"/>
          <w:lang w:bidi="ar-EG"/>
        </w:rPr>
        <w:t>Soerjomataram</w:t>
      </w:r>
      <w:proofErr w:type="spellEnd"/>
      <w:r w:rsidR="00963A9C" w:rsidRPr="00963A9C">
        <w:rPr>
          <w:rFonts w:asciiTheme="majorBidi" w:eastAsia="Calibri" w:hAnsiTheme="majorBidi" w:cstheme="majorBidi"/>
          <w:sz w:val="20"/>
          <w:szCs w:val="20"/>
          <w:lang w:bidi="ar-EG"/>
        </w:rPr>
        <w:t>, I., Jemal, A., &amp; Bray, F. (2017). Global patterns and trends in colorectal cancer incidence and mortality. </w:t>
      </w:r>
      <w:r w:rsidR="00963A9C" w:rsidRPr="00963A9C">
        <w:rPr>
          <w:rFonts w:asciiTheme="majorBidi" w:eastAsia="Calibri" w:hAnsiTheme="majorBidi" w:cstheme="majorBidi"/>
          <w:i/>
          <w:iCs/>
          <w:sz w:val="20"/>
          <w:szCs w:val="20"/>
          <w:lang w:bidi="ar-EG"/>
        </w:rPr>
        <w:t>Gut</w:t>
      </w:r>
      <w:r w:rsidR="00963A9C" w:rsidRPr="00963A9C">
        <w:rPr>
          <w:rFonts w:asciiTheme="majorBidi" w:eastAsia="Calibri" w:hAnsiTheme="majorBidi" w:cstheme="majorBidi"/>
          <w:sz w:val="20"/>
          <w:szCs w:val="20"/>
          <w:lang w:bidi="ar-EG"/>
        </w:rPr>
        <w:t>, </w:t>
      </w:r>
      <w:r w:rsidR="00963A9C" w:rsidRPr="00963A9C">
        <w:rPr>
          <w:rFonts w:asciiTheme="majorBidi" w:eastAsia="Calibri" w:hAnsiTheme="majorBidi" w:cstheme="majorBidi"/>
          <w:i/>
          <w:iCs/>
          <w:sz w:val="20"/>
          <w:szCs w:val="20"/>
          <w:lang w:bidi="ar-EG"/>
        </w:rPr>
        <w:t>66</w:t>
      </w:r>
      <w:r w:rsidR="00963A9C" w:rsidRPr="00963A9C">
        <w:rPr>
          <w:rFonts w:asciiTheme="majorBidi" w:eastAsia="Calibri" w:hAnsiTheme="majorBidi" w:cstheme="majorBidi"/>
          <w:sz w:val="20"/>
          <w:szCs w:val="20"/>
          <w:lang w:bidi="ar-EG"/>
        </w:rPr>
        <w:t>(4), 683-691.</w:t>
      </w:r>
    </w:p>
    <w:p w14:paraId="0BBDF36A" w14:textId="77777777" w:rsidR="00963A9C" w:rsidRDefault="00963A9C"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eastAsia="Calibri" w:hAnsiTheme="majorBidi" w:cstheme="majorBidi"/>
          <w:sz w:val="20"/>
          <w:szCs w:val="20"/>
          <w:lang w:bidi="ar-EG"/>
        </w:rPr>
        <w:t>Shams-White, M. M., Brockton, N. T., Mitrou, P., Romaguera, D., Brown, S., Bender, A., ... &amp; Reedy, J. (2019). Operationalizing the 2018 World Cancer Research Fund/American Institute for Cancer Research (WCRF/AICR) cancer prevention recommendations: a standardized scoring system. </w:t>
      </w:r>
      <w:r w:rsidRPr="00963A9C">
        <w:rPr>
          <w:rFonts w:asciiTheme="majorBidi" w:eastAsia="Calibri" w:hAnsiTheme="majorBidi" w:cstheme="majorBidi"/>
          <w:i/>
          <w:iCs/>
          <w:sz w:val="20"/>
          <w:szCs w:val="20"/>
          <w:lang w:bidi="ar-EG"/>
        </w:rPr>
        <w:t>Nutrients</w:t>
      </w:r>
      <w:r w:rsidRPr="00963A9C">
        <w:rPr>
          <w:rFonts w:asciiTheme="majorBidi" w:eastAsia="Calibri" w:hAnsiTheme="majorBidi" w:cstheme="majorBidi"/>
          <w:sz w:val="20"/>
          <w:szCs w:val="20"/>
          <w:lang w:bidi="ar-EG"/>
        </w:rPr>
        <w:t>, </w:t>
      </w:r>
      <w:r w:rsidRPr="00963A9C">
        <w:rPr>
          <w:rFonts w:asciiTheme="majorBidi" w:eastAsia="Calibri" w:hAnsiTheme="majorBidi" w:cstheme="majorBidi"/>
          <w:i/>
          <w:iCs/>
          <w:sz w:val="20"/>
          <w:szCs w:val="20"/>
          <w:lang w:bidi="ar-EG"/>
        </w:rPr>
        <w:t>11</w:t>
      </w:r>
      <w:r w:rsidRPr="00963A9C">
        <w:rPr>
          <w:rFonts w:asciiTheme="majorBidi" w:eastAsia="Calibri" w:hAnsiTheme="majorBidi" w:cstheme="majorBidi"/>
          <w:sz w:val="20"/>
          <w:szCs w:val="20"/>
          <w:lang w:bidi="ar-EG"/>
        </w:rPr>
        <w:t>(7), 1572.</w:t>
      </w:r>
    </w:p>
    <w:p w14:paraId="242D39F1" w14:textId="1F18546D" w:rsidR="007E0B34" w:rsidRPr="007E0B34" w:rsidRDefault="00963A9C"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hAnsiTheme="majorBidi" w:cstheme="majorBidi"/>
          <w:sz w:val="20"/>
          <w:szCs w:val="20"/>
        </w:rPr>
        <w:t xml:space="preserve">Brenner, H., &amp; Tao, S. (2013). Superior diagnostic performance of </w:t>
      </w:r>
      <w:proofErr w:type="spellStart"/>
      <w:r w:rsidRPr="00963A9C">
        <w:rPr>
          <w:rFonts w:asciiTheme="majorBidi" w:hAnsiTheme="majorBidi" w:cstheme="majorBidi"/>
          <w:sz w:val="20"/>
          <w:szCs w:val="20"/>
        </w:rPr>
        <w:t>faecal</w:t>
      </w:r>
      <w:proofErr w:type="spellEnd"/>
      <w:r w:rsidRPr="00963A9C">
        <w:rPr>
          <w:rFonts w:asciiTheme="majorBidi" w:hAnsiTheme="majorBidi" w:cstheme="majorBidi"/>
          <w:sz w:val="20"/>
          <w:szCs w:val="20"/>
        </w:rPr>
        <w:t xml:space="preserve"> immunochemical tests for </w:t>
      </w:r>
      <w:proofErr w:type="spellStart"/>
      <w:r w:rsidRPr="00963A9C">
        <w:rPr>
          <w:rFonts w:asciiTheme="majorBidi" w:hAnsiTheme="majorBidi" w:cstheme="majorBidi"/>
          <w:sz w:val="20"/>
          <w:szCs w:val="20"/>
        </w:rPr>
        <w:t>haemoglobin</w:t>
      </w:r>
      <w:proofErr w:type="spellEnd"/>
      <w:r w:rsidRPr="00963A9C">
        <w:rPr>
          <w:rFonts w:asciiTheme="majorBidi" w:hAnsiTheme="majorBidi" w:cstheme="majorBidi"/>
          <w:sz w:val="20"/>
          <w:szCs w:val="20"/>
        </w:rPr>
        <w:t xml:space="preserve"> in a head-to-head comparison with guaiac based </w:t>
      </w:r>
      <w:proofErr w:type="spellStart"/>
      <w:r w:rsidRPr="00963A9C">
        <w:rPr>
          <w:rFonts w:asciiTheme="majorBidi" w:hAnsiTheme="majorBidi" w:cstheme="majorBidi"/>
          <w:sz w:val="20"/>
          <w:szCs w:val="20"/>
        </w:rPr>
        <w:t>faecal</w:t>
      </w:r>
      <w:proofErr w:type="spellEnd"/>
      <w:r w:rsidRPr="00963A9C">
        <w:rPr>
          <w:rFonts w:asciiTheme="majorBidi" w:hAnsiTheme="majorBidi" w:cstheme="majorBidi"/>
          <w:sz w:val="20"/>
          <w:szCs w:val="20"/>
        </w:rPr>
        <w:t xml:space="preserve"> occult blood test among 2235 participants of screening colonoscopy. </w:t>
      </w:r>
      <w:r w:rsidRPr="00963A9C">
        <w:rPr>
          <w:rFonts w:asciiTheme="majorBidi" w:hAnsiTheme="majorBidi" w:cstheme="majorBidi"/>
          <w:i/>
          <w:iCs/>
          <w:sz w:val="20"/>
          <w:szCs w:val="20"/>
        </w:rPr>
        <w:t>European journal of cancer</w:t>
      </w:r>
      <w:r w:rsidRPr="00963A9C">
        <w:rPr>
          <w:rFonts w:asciiTheme="majorBidi" w:hAnsiTheme="majorBidi" w:cstheme="majorBidi"/>
          <w:sz w:val="20"/>
          <w:szCs w:val="20"/>
        </w:rPr>
        <w:t>, </w:t>
      </w:r>
      <w:r w:rsidRPr="00963A9C">
        <w:rPr>
          <w:rFonts w:asciiTheme="majorBidi" w:hAnsiTheme="majorBidi" w:cstheme="majorBidi"/>
          <w:i/>
          <w:iCs/>
          <w:sz w:val="20"/>
          <w:szCs w:val="20"/>
        </w:rPr>
        <w:t>49</w:t>
      </w:r>
      <w:r>
        <w:rPr>
          <w:rFonts w:asciiTheme="majorBidi" w:hAnsiTheme="majorBidi" w:cstheme="majorBidi"/>
          <w:sz w:val="20"/>
          <w:szCs w:val="20"/>
        </w:rPr>
        <w:t>(14), 3049-3054</w:t>
      </w:r>
      <w:r w:rsidR="007E0B34" w:rsidRPr="007E0B34">
        <w:rPr>
          <w:rFonts w:asciiTheme="majorBidi" w:hAnsiTheme="majorBidi" w:cstheme="majorBidi"/>
          <w:sz w:val="20"/>
          <w:szCs w:val="20"/>
        </w:rPr>
        <w:t>.</w:t>
      </w:r>
    </w:p>
    <w:p w14:paraId="03BA5610" w14:textId="77777777" w:rsidR="00963A9C" w:rsidRPr="00963A9C" w:rsidRDefault="00963A9C" w:rsidP="00190A6C">
      <w:pPr>
        <w:numPr>
          <w:ilvl w:val="0"/>
          <w:numId w:val="21"/>
        </w:numPr>
        <w:bidi w:val="0"/>
        <w:spacing w:after="0" w:line="240" w:lineRule="auto"/>
        <w:jc w:val="both"/>
        <w:rPr>
          <w:rFonts w:asciiTheme="majorBidi" w:eastAsia="Calibri" w:hAnsiTheme="majorBidi" w:cstheme="majorBidi"/>
          <w:sz w:val="20"/>
          <w:szCs w:val="20"/>
          <w:lang w:bidi="ar-EG"/>
        </w:rPr>
      </w:pPr>
      <w:r w:rsidRPr="00190A6C">
        <w:rPr>
          <w:rFonts w:asciiTheme="majorBidi" w:hAnsiTheme="majorBidi" w:cstheme="majorBidi"/>
          <w:sz w:val="20"/>
          <w:szCs w:val="20"/>
          <w:lang w:val="nl-NL"/>
        </w:rPr>
        <w:t xml:space="preserve">Çakmak, H. A., &amp; Demir, M. (2020). </w:t>
      </w:r>
      <w:r w:rsidRPr="00963A9C">
        <w:rPr>
          <w:rFonts w:asciiTheme="majorBidi" w:hAnsiTheme="majorBidi" w:cstheme="majorBidi"/>
          <w:sz w:val="20"/>
          <w:szCs w:val="20"/>
        </w:rPr>
        <w:t>MicroRNA and cardiovascular diseases. </w:t>
      </w:r>
      <w:r w:rsidRPr="00963A9C">
        <w:rPr>
          <w:rFonts w:asciiTheme="majorBidi" w:hAnsiTheme="majorBidi" w:cstheme="majorBidi"/>
          <w:i/>
          <w:iCs/>
          <w:sz w:val="20"/>
          <w:szCs w:val="20"/>
        </w:rPr>
        <w:t>Balkan medical journal</w:t>
      </w:r>
      <w:r w:rsidRPr="00963A9C">
        <w:rPr>
          <w:rFonts w:asciiTheme="majorBidi" w:hAnsiTheme="majorBidi" w:cstheme="majorBidi"/>
          <w:sz w:val="20"/>
          <w:szCs w:val="20"/>
        </w:rPr>
        <w:t>, </w:t>
      </w:r>
      <w:r w:rsidRPr="00963A9C">
        <w:rPr>
          <w:rFonts w:asciiTheme="majorBidi" w:hAnsiTheme="majorBidi" w:cstheme="majorBidi"/>
          <w:i/>
          <w:iCs/>
          <w:sz w:val="20"/>
          <w:szCs w:val="20"/>
        </w:rPr>
        <w:t>37</w:t>
      </w:r>
      <w:r w:rsidRPr="00963A9C">
        <w:rPr>
          <w:rFonts w:asciiTheme="majorBidi" w:hAnsiTheme="majorBidi" w:cstheme="majorBidi"/>
          <w:sz w:val="20"/>
          <w:szCs w:val="20"/>
        </w:rPr>
        <w:t>(2), 60.</w:t>
      </w:r>
    </w:p>
    <w:p w14:paraId="5F062086" w14:textId="77777777" w:rsidR="00963A9C" w:rsidRPr="00963A9C" w:rsidRDefault="00963A9C" w:rsidP="00190A6C">
      <w:pPr>
        <w:numPr>
          <w:ilvl w:val="0"/>
          <w:numId w:val="21"/>
        </w:numPr>
        <w:bidi w:val="0"/>
        <w:spacing w:after="0" w:line="240" w:lineRule="auto"/>
        <w:jc w:val="both"/>
        <w:rPr>
          <w:rFonts w:asciiTheme="majorBidi" w:eastAsia="Calibri" w:hAnsiTheme="majorBidi" w:cstheme="majorBidi"/>
          <w:sz w:val="20"/>
          <w:szCs w:val="20"/>
          <w:lang w:bidi="ar-EG"/>
        </w:rPr>
      </w:pPr>
      <w:r w:rsidRPr="00963A9C">
        <w:rPr>
          <w:rFonts w:asciiTheme="majorBidi" w:hAnsiTheme="majorBidi" w:cstheme="majorBidi"/>
          <w:sz w:val="20"/>
          <w:szCs w:val="20"/>
        </w:rPr>
        <w:t xml:space="preserve">Tanase, D. M., </w:t>
      </w:r>
      <w:proofErr w:type="spellStart"/>
      <w:r w:rsidRPr="00963A9C">
        <w:rPr>
          <w:rFonts w:asciiTheme="majorBidi" w:hAnsiTheme="majorBidi" w:cstheme="majorBidi"/>
          <w:sz w:val="20"/>
          <w:szCs w:val="20"/>
        </w:rPr>
        <w:t>Gosav</w:t>
      </w:r>
      <w:proofErr w:type="spellEnd"/>
      <w:r w:rsidRPr="00963A9C">
        <w:rPr>
          <w:rFonts w:asciiTheme="majorBidi" w:hAnsiTheme="majorBidi" w:cstheme="majorBidi"/>
          <w:sz w:val="20"/>
          <w:szCs w:val="20"/>
        </w:rPr>
        <w:t xml:space="preserve">, E. M., </w:t>
      </w:r>
      <w:proofErr w:type="spellStart"/>
      <w:r w:rsidRPr="00963A9C">
        <w:rPr>
          <w:rFonts w:asciiTheme="majorBidi" w:hAnsiTheme="majorBidi" w:cstheme="majorBidi"/>
          <w:sz w:val="20"/>
          <w:szCs w:val="20"/>
        </w:rPr>
        <w:t>Ouatu</w:t>
      </w:r>
      <w:proofErr w:type="spellEnd"/>
      <w:r w:rsidRPr="00963A9C">
        <w:rPr>
          <w:rFonts w:asciiTheme="majorBidi" w:hAnsiTheme="majorBidi" w:cstheme="majorBidi"/>
          <w:sz w:val="20"/>
          <w:szCs w:val="20"/>
        </w:rPr>
        <w:t xml:space="preserve">, A., Badescu, M. C., Dima, N., </w:t>
      </w:r>
      <w:proofErr w:type="spellStart"/>
      <w:r w:rsidRPr="00963A9C">
        <w:rPr>
          <w:rFonts w:asciiTheme="majorBidi" w:hAnsiTheme="majorBidi" w:cstheme="majorBidi"/>
          <w:sz w:val="20"/>
          <w:szCs w:val="20"/>
        </w:rPr>
        <w:t>Ganceanu-Rusu</w:t>
      </w:r>
      <w:proofErr w:type="spellEnd"/>
      <w:r w:rsidRPr="00963A9C">
        <w:rPr>
          <w:rFonts w:asciiTheme="majorBidi" w:hAnsiTheme="majorBidi" w:cstheme="majorBidi"/>
          <w:sz w:val="20"/>
          <w:szCs w:val="20"/>
        </w:rPr>
        <w:t xml:space="preserve">, A. R., ... &amp; </w:t>
      </w:r>
      <w:proofErr w:type="spellStart"/>
      <w:r w:rsidRPr="00963A9C">
        <w:rPr>
          <w:rFonts w:asciiTheme="majorBidi" w:hAnsiTheme="majorBidi" w:cstheme="majorBidi"/>
          <w:sz w:val="20"/>
          <w:szCs w:val="20"/>
        </w:rPr>
        <w:lastRenderedPageBreak/>
        <w:t>Rezus</w:t>
      </w:r>
      <w:proofErr w:type="spellEnd"/>
      <w:r w:rsidRPr="00963A9C">
        <w:rPr>
          <w:rFonts w:asciiTheme="majorBidi" w:hAnsiTheme="majorBidi" w:cstheme="majorBidi"/>
          <w:sz w:val="20"/>
          <w:szCs w:val="20"/>
        </w:rPr>
        <w:t>, C. (2021). Current knowledge of MicroRNAs (miRNAs) in acute coronary syndrome (ACS): ST-elevation myocardial infarction (STEMI). </w:t>
      </w:r>
      <w:r w:rsidRPr="00963A9C">
        <w:rPr>
          <w:rFonts w:asciiTheme="majorBidi" w:hAnsiTheme="majorBidi" w:cstheme="majorBidi"/>
          <w:i/>
          <w:iCs/>
          <w:sz w:val="20"/>
          <w:szCs w:val="20"/>
        </w:rPr>
        <w:t>Life</w:t>
      </w:r>
      <w:r w:rsidRPr="00963A9C">
        <w:rPr>
          <w:rFonts w:asciiTheme="majorBidi" w:hAnsiTheme="majorBidi" w:cstheme="majorBidi"/>
          <w:sz w:val="20"/>
          <w:szCs w:val="20"/>
        </w:rPr>
        <w:t>, </w:t>
      </w:r>
      <w:r w:rsidRPr="00963A9C">
        <w:rPr>
          <w:rFonts w:asciiTheme="majorBidi" w:hAnsiTheme="majorBidi" w:cstheme="majorBidi"/>
          <w:i/>
          <w:iCs/>
          <w:sz w:val="20"/>
          <w:szCs w:val="20"/>
        </w:rPr>
        <w:t>11</w:t>
      </w:r>
      <w:r w:rsidRPr="00963A9C">
        <w:rPr>
          <w:rFonts w:asciiTheme="majorBidi" w:hAnsiTheme="majorBidi" w:cstheme="majorBidi"/>
          <w:sz w:val="20"/>
          <w:szCs w:val="20"/>
        </w:rPr>
        <w:t>(10), 1057.</w:t>
      </w:r>
    </w:p>
    <w:p w14:paraId="09009E9A" w14:textId="77777777" w:rsidR="00963A9C" w:rsidRP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eastAsia="Calibri" w:hAnsiTheme="majorBidi" w:cstheme="majorBidi"/>
          <w:sz w:val="20"/>
          <w:szCs w:val="20"/>
          <w:lang w:bidi="ar-EG"/>
        </w:rPr>
        <w:t>Adams, B. D., Kasinski, A. L., &amp; Slack, F. J. (2014). Aberrant regulation and function of microRNAs in cancer. </w:t>
      </w:r>
      <w:r w:rsidRPr="00963A9C">
        <w:rPr>
          <w:rFonts w:asciiTheme="majorBidi" w:eastAsia="Calibri" w:hAnsiTheme="majorBidi" w:cstheme="majorBidi"/>
          <w:i/>
          <w:iCs/>
          <w:sz w:val="20"/>
          <w:szCs w:val="20"/>
          <w:lang w:bidi="ar-EG"/>
        </w:rPr>
        <w:t>Current Biology</w:t>
      </w:r>
      <w:r w:rsidRPr="00963A9C">
        <w:rPr>
          <w:rFonts w:asciiTheme="majorBidi" w:eastAsia="Calibri" w:hAnsiTheme="majorBidi" w:cstheme="majorBidi"/>
          <w:sz w:val="20"/>
          <w:szCs w:val="20"/>
          <w:lang w:bidi="ar-EG"/>
        </w:rPr>
        <w:t>, </w:t>
      </w:r>
      <w:r w:rsidRPr="00963A9C">
        <w:rPr>
          <w:rFonts w:asciiTheme="majorBidi" w:eastAsia="Calibri" w:hAnsiTheme="majorBidi" w:cstheme="majorBidi"/>
          <w:i/>
          <w:iCs/>
          <w:sz w:val="20"/>
          <w:szCs w:val="20"/>
          <w:lang w:bidi="ar-EG"/>
        </w:rPr>
        <w:t>24</w:t>
      </w:r>
      <w:r w:rsidRPr="00963A9C">
        <w:rPr>
          <w:rFonts w:asciiTheme="majorBidi" w:eastAsia="Calibri" w:hAnsiTheme="majorBidi" w:cstheme="majorBidi"/>
          <w:sz w:val="20"/>
          <w:szCs w:val="20"/>
          <w:lang w:bidi="ar-EG"/>
        </w:rPr>
        <w:t>(16), R762-R776.</w:t>
      </w:r>
    </w:p>
    <w:p w14:paraId="659D4019" w14:textId="77777777" w:rsid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hAnsiTheme="majorBidi" w:cstheme="majorBidi"/>
          <w:sz w:val="20"/>
          <w:szCs w:val="20"/>
        </w:rPr>
        <w:t>Zhang, N., Li, X., Wu, C. W., Dong, Y., Cai, M., Mok, M. T. S., ... &amp; Yu, J. (2013). microRNA-7 is a novel inhibitor of YY1 contributing to colorectal tumorigenesis. </w:t>
      </w:r>
      <w:r w:rsidRPr="00963A9C">
        <w:rPr>
          <w:rFonts w:asciiTheme="majorBidi" w:hAnsiTheme="majorBidi" w:cstheme="majorBidi"/>
          <w:i/>
          <w:iCs/>
          <w:sz w:val="20"/>
          <w:szCs w:val="20"/>
        </w:rPr>
        <w:t>Oncogene</w:t>
      </w:r>
      <w:r w:rsidRPr="00963A9C">
        <w:rPr>
          <w:rFonts w:asciiTheme="majorBidi" w:hAnsiTheme="majorBidi" w:cstheme="majorBidi"/>
          <w:sz w:val="20"/>
          <w:szCs w:val="20"/>
        </w:rPr>
        <w:t>, </w:t>
      </w:r>
      <w:r w:rsidRPr="00963A9C">
        <w:rPr>
          <w:rFonts w:asciiTheme="majorBidi" w:hAnsiTheme="majorBidi" w:cstheme="majorBidi"/>
          <w:i/>
          <w:iCs/>
          <w:sz w:val="20"/>
          <w:szCs w:val="20"/>
        </w:rPr>
        <w:t>32</w:t>
      </w:r>
      <w:r w:rsidRPr="00963A9C">
        <w:rPr>
          <w:rFonts w:asciiTheme="majorBidi" w:hAnsiTheme="majorBidi" w:cstheme="majorBidi"/>
          <w:sz w:val="20"/>
          <w:szCs w:val="20"/>
        </w:rPr>
        <w:t>(42), 5078-5088.</w:t>
      </w:r>
    </w:p>
    <w:p w14:paraId="475DDC63" w14:textId="77777777" w:rsid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hAnsiTheme="majorBidi" w:cstheme="majorBidi"/>
          <w:sz w:val="20"/>
          <w:szCs w:val="20"/>
        </w:rPr>
        <w:t>Gong, Z., Yang, J., Li, J., Yang, L., Le, Y., Wang, S., &amp; Lin, H. K. (2014). Novel insights into the role of microRNA in lung cancer resistance to treatment and targeted therapy. </w:t>
      </w:r>
      <w:r w:rsidRPr="00963A9C">
        <w:rPr>
          <w:rFonts w:asciiTheme="majorBidi" w:hAnsiTheme="majorBidi" w:cstheme="majorBidi"/>
          <w:i/>
          <w:iCs/>
          <w:sz w:val="20"/>
          <w:szCs w:val="20"/>
        </w:rPr>
        <w:t>Current cancer drug targets</w:t>
      </w:r>
      <w:r w:rsidRPr="00963A9C">
        <w:rPr>
          <w:rFonts w:asciiTheme="majorBidi" w:hAnsiTheme="majorBidi" w:cstheme="majorBidi"/>
          <w:sz w:val="20"/>
          <w:szCs w:val="20"/>
        </w:rPr>
        <w:t>, </w:t>
      </w:r>
      <w:r w:rsidRPr="00963A9C">
        <w:rPr>
          <w:rFonts w:asciiTheme="majorBidi" w:hAnsiTheme="majorBidi" w:cstheme="majorBidi"/>
          <w:i/>
          <w:iCs/>
          <w:sz w:val="20"/>
          <w:szCs w:val="20"/>
        </w:rPr>
        <w:t>14</w:t>
      </w:r>
      <w:r w:rsidRPr="00963A9C">
        <w:rPr>
          <w:rFonts w:asciiTheme="majorBidi" w:hAnsiTheme="majorBidi" w:cstheme="majorBidi"/>
          <w:sz w:val="20"/>
          <w:szCs w:val="20"/>
        </w:rPr>
        <w:t>(3), 241-258.</w:t>
      </w:r>
    </w:p>
    <w:p w14:paraId="75A1F464" w14:textId="76DCA77D" w:rsidR="006E5F6C" w:rsidRPr="001A5200" w:rsidRDefault="00A205D2"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Pr>
          <w:rFonts w:asciiTheme="majorBidi" w:hAnsiTheme="majorBidi" w:cstheme="majorBidi"/>
          <w:sz w:val="20"/>
          <w:szCs w:val="20"/>
        </w:rPr>
        <w:t xml:space="preserve"> </w:t>
      </w:r>
      <w:r w:rsidRPr="00A205D2">
        <w:rPr>
          <w:rFonts w:asciiTheme="majorBidi" w:hAnsiTheme="majorBidi" w:cstheme="majorBidi"/>
          <w:sz w:val="20"/>
          <w:szCs w:val="20"/>
        </w:rPr>
        <w:t>Li R. C., Ke S., Meng F. K., Lu J., Zou X. J., He Z. G. &amp; Fang M. H. (2018): ciRS-7 promotes growth and metastasis of esophageal squamous cell carcinoma via regulation of miR-7/HOXB13. Cell death &amp; disease, 9(8), 1-13.</w:t>
      </w:r>
    </w:p>
    <w:p w14:paraId="7C652727" w14:textId="77777777" w:rsidR="007F2C0B" w:rsidRDefault="007F2C0B"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7F2C0B">
        <w:rPr>
          <w:rFonts w:asciiTheme="majorBidi" w:hAnsiTheme="majorBidi" w:cstheme="majorBidi"/>
          <w:sz w:val="20"/>
          <w:szCs w:val="20"/>
        </w:rPr>
        <w:t>Qin A. &amp; Qian W. (2018): microRNA-7 inhibits colorectal cancer cell proliferation, migration and invasion via TYRO3 and phosphoinositide 3-kinase/protein B kinase/mammalian target of rapamycin pathway suppression. International Journal of Molecular Medicine, 42(5), 2503-2514.</w:t>
      </w:r>
    </w:p>
    <w:p w14:paraId="3F19A3EF" w14:textId="77777777" w:rsidR="006E7EE0" w:rsidRDefault="006E7EE0"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proofErr w:type="spellStart"/>
      <w:r w:rsidRPr="006E7EE0">
        <w:rPr>
          <w:rFonts w:asciiTheme="majorBidi" w:hAnsiTheme="majorBidi" w:cstheme="majorBidi"/>
          <w:sz w:val="20"/>
          <w:szCs w:val="20"/>
        </w:rPr>
        <w:t>Ferlay</w:t>
      </w:r>
      <w:proofErr w:type="spellEnd"/>
      <w:r w:rsidRPr="006E7EE0">
        <w:rPr>
          <w:rFonts w:asciiTheme="majorBidi" w:hAnsiTheme="majorBidi" w:cstheme="majorBidi"/>
          <w:sz w:val="20"/>
          <w:szCs w:val="20"/>
        </w:rPr>
        <w:t xml:space="preserve"> J, </w:t>
      </w:r>
      <w:proofErr w:type="spellStart"/>
      <w:r w:rsidRPr="006E7EE0">
        <w:rPr>
          <w:rFonts w:asciiTheme="majorBidi" w:hAnsiTheme="majorBidi" w:cstheme="majorBidi"/>
          <w:sz w:val="20"/>
          <w:szCs w:val="20"/>
        </w:rPr>
        <w:t>Colombet</w:t>
      </w:r>
      <w:proofErr w:type="spellEnd"/>
      <w:r w:rsidRPr="006E7EE0">
        <w:rPr>
          <w:rFonts w:asciiTheme="majorBidi" w:hAnsiTheme="majorBidi" w:cstheme="majorBidi"/>
          <w:sz w:val="20"/>
          <w:szCs w:val="20"/>
        </w:rPr>
        <w:t xml:space="preserve"> M, </w:t>
      </w:r>
      <w:proofErr w:type="spellStart"/>
      <w:r w:rsidRPr="006E7EE0">
        <w:rPr>
          <w:rFonts w:asciiTheme="majorBidi" w:hAnsiTheme="majorBidi" w:cstheme="majorBidi"/>
          <w:sz w:val="20"/>
          <w:szCs w:val="20"/>
        </w:rPr>
        <w:t>Soerjomataram</w:t>
      </w:r>
      <w:proofErr w:type="spellEnd"/>
      <w:r w:rsidRPr="006E7EE0">
        <w:rPr>
          <w:rFonts w:asciiTheme="majorBidi" w:hAnsiTheme="majorBidi" w:cstheme="majorBidi"/>
          <w:sz w:val="20"/>
          <w:szCs w:val="20"/>
        </w:rPr>
        <w:t xml:space="preserve"> I et al. Cancer incidence and mortality patterns in Europe: Estimates for 40 countries and 25 major cancers in 2018. </w:t>
      </w:r>
      <w:proofErr w:type="spellStart"/>
      <w:r w:rsidRPr="006E7EE0">
        <w:rPr>
          <w:rFonts w:asciiTheme="majorBidi" w:hAnsiTheme="majorBidi" w:cstheme="majorBidi"/>
          <w:sz w:val="20"/>
          <w:szCs w:val="20"/>
        </w:rPr>
        <w:t>Eur</w:t>
      </w:r>
      <w:proofErr w:type="spellEnd"/>
      <w:r w:rsidRPr="006E7EE0">
        <w:rPr>
          <w:rFonts w:asciiTheme="majorBidi" w:hAnsiTheme="majorBidi" w:cstheme="majorBidi"/>
          <w:sz w:val="20"/>
          <w:szCs w:val="20"/>
        </w:rPr>
        <w:t xml:space="preserve"> J Cancer 2018; 103:356–387</w:t>
      </w:r>
    </w:p>
    <w:p w14:paraId="0460357B" w14:textId="5C29514E" w:rsidR="006E7EE0"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hAnsiTheme="majorBidi" w:cstheme="majorBidi"/>
          <w:sz w:val="20"/>
          <w:szCs w:val="20"/>
        </w:rPr>
        <w:t>Sankaranarayanan, R. (2014). Screening for cancer in low-and middle-income countries. </w:t>
      </w:r>
      <w:r w:rsidRPr="00963A9C">
        <w:rPr>
          <w:rFonts w:asciiTheme="majorBidi" w:hAnsiTheme="majorBidi" w:cstheme="majorBidi"/>
          <w:i/>
          <w:iCs/>
          <w:sz w:val="20"/>
          <w:szCs w:val="20"/>
        </w:rPr>
        <w:t>Annals of global health</w:t>
      </w:r>
      <w:r w:rsidRPr="00963A9C">
        <w:rPr>
          <w:rFonts w:asciiTheme="majorBidi" w:hAnsiTheme="majorBidi" w:cstheme="majorBidi"/>
          <w:sz w:val="20"/>
          <w:szCs w:val="20"/>
        </w:rPr>
        <w:t>, </w:t>
      </w:r>
      <w:r w:rsidRPr="00963A9C">
        <w:rPr>
          <w:rFonts w:asciiTheme="majorBidi" w:hAnsiTheme="majorBidi" w:cstheme="majorBidi"/>
          <w:i/>
          <w:iCs/>
          <w:sz w:val="20"/>
          <w:szCs w:val="20"/>
        </w:rPr>
        <w:t>80</w:t>
      </w:r>
      <w:r>
        <w:rPr>
          <w:rFonts w:asciiTheme="majorBidi" w:hAnsiTheme="majorBidi" w:cstheme="majorBidi"/>
          <w:sz w:val="20"/>
          <w:szCs w:val="20"/>
        </w:rPr>
        <w:t>(5), 412-417</w:t>
      </w:r>
      <w:r w:rsidR="0091160B" w:rsidRPr="001A5200">
        <w:rPr>
          <w:rFonts w:asciiTheme="majorBidi" w:hAnsiTheme="majorBidi" w:cstheme="majorBidi"/>
          <w:sz w:val="20"/>
          <w:szCs w:val="20"/>
        </w:rPr>
        <w:t xml:space="preserve">. </w:t>
      </w:r>
    </w:p>
    <w:p w14:paraId="2CD5560C" w14:textId="1D8FC997" w:rsidR="00FB017C" w:rsidRPr="001A5200" w:rsidRDefault="006E7EE0"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6E7EE0">
        <w:rPr>
          <w:rFonts w:asciiTheme="majorBidi" w:hAnsiTheme="majorBidi" w:cstheme="majorBidi"/>
          <w:sz w:val="20"/>
          <w:szCs w:val="20"/>
        </w:rPr>
        <w:t xml:space="preserve">CDC Data &amp; </w:t>
      </w:r>
      <w:proofErr w:type="spellStart"/>
      <w:r w:rsidRPr="006E7EE0">
        <w:rPr>
          <w:rFonts w:asciiTheme="majorBidi" w:hAnsiTheme="majorBidi" w:cstheme="majorBidi"/>
          <w:sz w:val="20"/>
          <w:szCs w:val="20"/>
        </w:rPr>
        <w:t>Statistics|Feature</w:t>
      </w:r>
      <w:proofErr w:type="spellEnd"/>
      <w:r w:rsidRPr="006E7EE0">
        <w:rPr>
          <w:rFonts w:asciiTheme="majorBidi" w:hAnsiTheme="majorBidi" w:cstheme="majorBidi"/>
          <w:sz w:val="20"/>
          <w:szCs w:val="20"/>
        </w:rPr>
        <w:t>. Top 10 Cancers Among Women; 2011</w:t>
      </w:r>
      <w:r>
        <w:rPr>
          <w:rFonts w:asciiTheme="majorBidi" w:hAnsiTheme="majorBidi" w:cstheme="majorBidi"/>
          <w:sz w:val="20"/>
          <w:szCs w:val="20"/>
        </w:rPr>
        <w:t xml:space="preserve">. May Internet. Available </w:t>
      </w:r>
      <w:proofErr w:type="spellStart"/>
      <w:r>
        <w:rPr>
          <w:rFonts w:asciiTheme="majorBidi" w:hAnsiTheme="majorBidi" w:cstheme="majorBidi"/>
          <w:sz w:val="20"/>
          <w:szCs w:val="20"/>
        </w:rPr>
        <w:t>from:</w:t>
      </w:r>
      <w:r w:rsidRPr="006E7EE0">
        <w:rPr>
          <w:rFonts w:asciiTheme="majorBidi" w:hAnsiTheme="majorBidi" w:cstheme="majorBidi"/>
          <w:sz w:val="20"/>
          <w:szCs w:val="20"/>
        </w:rPr>
        <w:t>http</w:t>
      </w:r>
      <w:proofErr w:type="spellEnd"/>
      <w:r w:rsidRPr="006E7EE0">
        <w:rPr>
          <w:rFonts w:asciiTheme="majorBidi" w:hAnsiTheme="majorBidi" w:cstheme="majorBidi"/>
          <w:sz w:val="20"/>
          <w:szCs w:val="20"/>
        </w:rPr>
        <w:t>://198.246.98.21/Features/dsWomenTop10Cancers/.</w:t>
      </w:r>
    </w:p>
    <w:p w14:paraId="09194466" w14:textId="77777777" w:rsid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190A6C">
        <w:rPr>
          <w:rFonts w:asciiTheme="majorBidi" w:hAnsiTheme="majorBidi" w:cstheme="majorBidi"/>
          <w:sz w:val="20"/>
          <w:szCs w:val="20"/>
          <w:lang w:val="nl-NL"/>
        </w:rPr>
        <w:t xml:space="preserve">Hadjipetrou, A., Anyfantakis, D., Galanakis, C. G., Kastanakis, M., &amp; Kastanakis, S. (2017). </w:t>
      </w:r>
      <w:r w:rsidRPr="00963A9C">
        <w:rPr>
          <w:rFonts w:asciiTheme="majorBidi" w:hAnsiTheme="majorBidi" w:cstheme="majorBidi"/>
          <w:sz w:val="20"/>
          <w:szCs w:val="20"/>
        </w:rPr>
        <w:t>Colorectal cancer, screening and primary care: A mini literature review. </w:t>
      </w:r>
      <w:r w:rsidRPr="00963A9C">
        <w:rPr>
          <w:rFonts w:asciiTheme="majorBidi" w:hAnsiTheme="majorBidi" w:cstheme="majorBidi"/>
          <w:i/>
          <w:iCs/>
          <w:sz w:val="20"/>
          <w:szCs w:val="20"/>
        </w:rPr>
        <w:t>World journal of gastroenterology</w:t>
      </w:r>
      <w:r w:rsidRPr="00963A9C">
        <w:rPr>
          <w:rFonts w:asciiTheme="majorBidi" w:hAnsiTheme="majorBidi" w:cstheme="majorBidi"/>
          <w:sz w:val="20"/>
          <w:szCs w:val="20"/>
        </w:rPr>
        <w:t>, </w:t>
      </w:r>
      <w:r w:rsidRPr="00963A9C">
        <w:rPr>
          <w:rFonts w:asciiTheme="majorBidi" w:hAnsiTheme="majorBidi" w:cstheme="majorBidi"/>
          <w:i/>
          <w:iCs/>
          <w:sz w:val="20"/>
          <w:szCs w:val="20"/>
        </w:rPr>
        <w:t>23</w:t>
      </w:r>
      <w:r w:rsidRPr="00963A9C">
        <w:rPr>
          <w:rFonts w:asciiTheme="majorBidi" w:hAnsiTheme="majorBidi" w:cstheme="majorBidi"/>
          <w:sz w:val="20"/>
          <w:szCs w:val="20"/>
        </w:rPr>
        <w:t>(33), 6049.</w:t>
      </w:r>
    </w:p>
    <w:p w14:paraId="5B751E2E" w14:textId="77777777" w:rsid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190A6C">
        <w:rPr>
          <w:rFonts w:asciiTheme="majorBidi" w:hAnsiTheme="majorBidi" w:cstheme="majorBidi"/>
          <w:sz w:val="20"/>
          <w:szCs w:val="20"/>
          <w:lang w:val="nl-NL"/>
        </w:rPr>
        <w:t xml:space="preserve">Foekens, J. A., Sieuwerts, A. M., Smid, M., Look, M. P., de Weerd, V., Boersma, A. W., ... </w:t>
      </w:r>
      <w:r w:rsidRPr="00963A9C">
        <w:rPr>
          <w:rFonts w:asciiTheme="majorBidi" w:hAnsiTheme="majorBidi" w:cstheme="majorBidi"/>
          <w:sz w:val="20"/>
          <w:szCs w:val="20"/>
        </w:rPr>
        <w:t>&amp; Martens, J. W. (2008). Four miRNAs associated with aggressiveness of lymph node-negative, estrogen receptor-positive human breast cancer. </w:t>
      </w:r>
      <w:r w:rsidRPr="00963A9C">
        <w:rPr>
          <w:rFonts w:asciiTheme="majorBidi" w:hAnsiTheme="majorBidi" w:cstheme="majorBidi"/>
          <w:i/>
          <w:iCs/>
          <w:sz w:val="20"/>
          <w:szCs w:val="20"/>
        </w:rPr>
        <w:t>Proceedings of the National Academy of Sciences</w:t>
      </w:r>
      <w:r w:rsidRPr="00963A9C">
        <w:rPr>
          <w:rFonts w:asciiTheme="majorBidi" w:hAnsiTheme="majorBidi" w:cstheme="majorBidi"/>
          <w:sz w:val="20"/>
          <w:szCs w:val="20"/>
        </w:rPr>
        <w:t>, </w:t>
      </w:r>
      <w:r w:rsidRPr="00963A9C">
        <w:rPr>
          <w:rFonts w:asciiTheme="majorBidi" w:hAnsiTheme="majorBidi" w:cstheme="majorBidi"/>
          <w:i/>
          <w:iCs/>
          <w:sz w:val="20"/>
          <w:szCs w:val="20"/>
        </w:rPr>
        <w:t>105</w:t>
      </w:r>
      <w:r w:rsidRPr="00963A9C">
        <w:rPr>
          <w:rFonts w:asciiTheme="majorBidi" w:hAnsiTheme="majorBidi" w:cstheme="majorBidi"/>
          <w:sz w:val="20"/>
          <w:szCs w:val="20"/>
        </w:rPr>
        <w:t>(35), 13021-13026.</w:t>
      </w:r>
    </w:p>
    <w:p w14:paraId="4DA2DA22" w14:textId="77777777" w:rsidR="00963A9C" w:rsidRDefault="00963A9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hAnsiTheme="majorBidi" w:cstheme="majorBidi"/>
          <w:sz w:val="20"/>
          <w:szCs w:val="20"/>
        </w:rPr>
        <w:t>Xiong, S., Zheng, Y., Jiang, P., Liu, R., Liu, X., &amp; Chu, Y. (2011). MicroRNA-7 inhibits the growth of human non-small cell lung cancer A549 cells through targeting BCL-2. </w:t>
      </w:r>
      <w:r w:rsidRPr="00963A9C">
        <w:rPr>
          <w:rFonts w:asciiTheme="majorBidi" w:hAnsiTheme="majorBidi" w:cstheme="majorBidi"/>
          <w:i/>
          <w:iCs/>
          <w:sz w:val="20"/>
          <w:szCs w:val="20"/>
        </w:rPr>
        <w:t>International journal of biological sciences</w:t>
      </w:r>
      <w:r w:rsidRPr="00963A9C">
        <w:rPr>
          <w:rFonts w:asciiTheme="majorBidi" w:hAnsiTheme="majorBidi" w:cstheme="majorBidi"/>
          <w:sz w:val="20"/>
          <w:szCs w:val="20"/>
        </w:rPr>
        <w:t>, </w:t>
      </w:r>
      <w:r w:rsidRPr="00963A9C">
        <w:rPr>
          <w:rFonts w:asciiTheme="majorBidi" w:hAnsiTheme="majorBidi" w:cstheme="majorBidi"/>
          <w:i/>
          <w:iCs/>
          <w:sz w:val="20"/>
          <w:szCs w:val="20"/>
        </w:rPr>
        <w:t>7</w:t>
      </w:r>
      <w:r w:rsidRPr="00963A9C">
        <w:rPr>
          <w:rFonts w:asciiTheme="majorBidi" w:hAnsiTheme="majorBidi" w:cstheme="majorBidi"/>
          <w:sz w:val="20"/>
          <w:szCs w:val="20"/>
        </w:rPr>
        <w:t>(6), 805.</w:t>
      </w:r>
    </w:p>
    <w:p w14:paraId="556376BC" w14:textId="7B9716A0" w:rsidR="000146F5" w:rsidRDefault="000146F5"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0146F5">
        <w:rPr>
          <w:rFonts w:asciiTheme="majorBidi" w:hAnsiTheme="majorBidi" w:cstheme="majorBidi"/>
          <w:sz w:val="20"/>
          <w:szCs w:val="20"/>
        </w:rPr>
        <w:t xml:space="preserve">Zeng C. Y., Zhan Y. S., Huang J. &amp; Chen Y. (2016): MicroRNA-7 suppresses human colon cancer invasion and proliferation by targeting the </w:t>
      </w:r>
      <w:r w:rsidRPr="000146F5">
        <w:rPr>
          <w:rFonts w:asciiTheme="majorBidi" w:hAnsiTheme="majorBidi" w:cstheme="majorBidi"/>
          <w:sz w:val="20"/>
          <w:szCs w:val="20"/>
        </w:rPr>
        <w:lastRenderedPageBreak/>
        <w:t xml:space="preserve">expression of focal adhesion kinase. Molecular medicine reports, 13(2), 1297-1303. </w:t>
      </w:r>
    </w:p>
    <w:p w14:paraId="70981E60" w14:textId="61B24727" w:rsidR="001E6B46" w:rsidRDefault="001E6B46"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1E6B46">
        <w:rPr>
          <w:rFonts w:asciiTheme="majorBidi" w:hAnsiTheme="majorBidi" w:cstheme="majorBidi"/>
          <w:sz w:val="20"/>
          <w:szCs w:val="20"/>
        </w:rPr>
        <w:t>Bader El Din N. G., Ibrahim M. K., El‐</w:t>
      </w:r>
      <w:proofErr w:type="spellStart"/>
      <w:r w:rsidRPr="001E6B46">
        <w:rPr>
          <w:rFonts w:asciiTheme="majorBidi" w:hAnsiTheme="majorBidi" w:cstheme="majorBidi"/>
          <w:sz w:val="20"/>
          <w:szCs w:val="20"/>
        </w:rPr>
        <w:t>Shenawy</w:t>
      </w:r>
      <w:proofErr w:type="spellEnd"/>
      <w:r w:rsidRPr="001E6B46">
        <w:rPr>
          <w:rFonts w:asciiTheme="majorBidi" w:hAnsiTheme="majorBidi" w:cstheme="majorBidi"/>
          <w:sz w:val="20"/>
          <w:szCs w:val="20"/>
        </w:rPr>
        <w:t xml:space="preserve"> R., Salum G. M., Farouk S., Zayed N. &amp; El Awady M. (2020): MicroRNAs expression profiling in Egyptian colorectal cancer patients. IUBMB life, 72(2), 275-284.</w:t>
      </w:r>
    </w:p>
    <w:p w14:paraId="4EDFC815" w14:textId="5D0BEB64" w:rsidR="00232FBC" w:rsidRDefault="00232FBC"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232FBC">
        <w:rPr>
          <w:rFonts w:asciiTheme="majorBidi" w:hAnsiTheme="majorBidi" w:cstheme="majorBidi"/>
          <w:sz w:val="20"/>
          <w:szCs w:val="20"/>
        </w:rPr>
        <w:t xml:space="preserve">Barrett S. P., Wang P. L. &amp; Salzman J. (2015): Circular RNA biogenesis can proceed through an exon-containing lariat precursor. </w:t>
      </w:r>
      <w:proofErr w:type="spellStart"/>
      <w:r w:rsidRPr="00232FBC">
        <w:rPr>
          <w:rFonts w:asciiTheme="majorBidi" w:hAnsiTheme="majorBidi" w:cstheme="majorBidi"/>
          <w:sz w:val="20"/>
          <w:szCs w:val="20"/>
        </w:rPr>
        <w:t>elife</w:t>
      </w:r>
      <w:proofErr w:type="spellEnd"/>
      <w:r w:rsidRPr="00232FBC">
        <w:rPr>
          <w:rFonts w:asciiTheme="majorBidi" w:hAnsiTheme="majorBidi" w:cstheme="majorBidi"/>
          <w:sz w:val="20"/>
          <w:szCs w:val="20"/>
        </w:rPr>
        <w:t>, 4, e07540.</w:t>
      </w:r>
    </w:p>
    <w:p w14:paraId="0A9BF95A" w14:textId="2EDE7DB2" w:rsidR="003B63FD" w:rsidRDefault="003B63FD"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3B63FD">
        <w:rPr>
          <w:rFonts w:asciiTheme="majorBidi" w:hAnsiTheme="majorBidi" w:cstheme="majorBidi"/>
          <w:sz w:val="20"/>
          <w:szCs w:val="20"/>
        </w:rPr>
        <w:t xml:space="preserve">Walts Z., Parlato L., Brent R., Cai Q., </w:t>
      </w:r>
      <w:proofErr w:type="spellStart"/>
      <w:r w:rsidRPr="003B63FD">
        <w:rPr>
          <w:rFonts w:asciiTheme="majorBidi" w:hAnsiTheme="majorBidi" w:cstheme="majorBidi"/>
          <w:sz w:val="20"/>
          <w:szCs w:val="20"/>
        </w:rPr>
        <w:t>Steinwandel</w:t>
      </w:r>
      <w:proofErr w:type="spellEnd"/>
      <w:r w:rsidRPr="003B63FD">
        <w:rPr>
          <w:rFonts w:asciiTheme="majorBidi" w:hAnsiTheme="majorBidi" w:cstheme="majorBidi"/>
          <w:sz w:val="20"/>
          <w:szCs w:val="20"/>
        </w:rPr>
        <w:t xml:space="preserve"> M., Zheng W. &amp; Warren Andersen S. (2023): Associations of Albumin and BMI with Colorectal Cancer Risk in the Southern Community Cohort Study: a Prospective Cohort Study. Journal of Racial and Ethnic Health Disparities, 1-12.</w:t>
      </w:r>
    </w:p>
    <w:p w14:paraId="584AB33C" w14:textId="1E970C49" w:rsidR="002D6727" w:rsidRPr="002D6727" w:rsidRDefault="002D6727"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2D6727">
        <w:rPr>
          <w:rFonts w:asciiTheme="majorBidi" w:hAnsiTheme="majorBidi" w:cstheme="majorBidi"/>
          <w:sz w:val="20"/>
          <w:szCs w:val="20"/>
        </w:rPr>
        <w:t xml:space="preserve">Far P. M., Alshahrani A. &amp; Yaghoobi M. (2019): Quantitative risk of positive family history in developing colorectal cancer: A </w:t>
      </w:r>
      <w:r>
        <w:rPr>
          <w:rFonts w:asciiTheme="majorBidi" w:hAnsiTheme="majorBidi" w:cstheme="majorBidi"/>
          <w:sz w:val="20"/>
          <w:szCs w:val="20"/>
        </w:rPr>
        <w:t xml:space="preserve">meta-analysis. World journal of </w:t>
      </w:r>
      <w:r w:rsidRPr="002D6727">
        <w:rPr>
          <w:rFonts w:asciiTheme="majorBidi" w:hAnsiTheme="majorBidi" w:cstheme="majorBidi"/>
          <w:sz w:val="20"/>
          <w:szCs w:val="20"/>
        </w:rPr>
        <w:t>gastroenterology, 25(30), 4278</w:t>
      </w:r>
    </w:p>
    <w:p w14:paraId="5B49BFFE" w14:textId="77777777" w:rsidR="00963A9C" w:rsidRDefault="004101B7"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190A6C">
        <w:rPr>
          <w:rFonts w:asciiTheme="majorBidi" w:hAnsiTheme="majorBidi" w:cstheme="majorBidi"/>
          <w:sz w:val="20"/>
          <w:szCs w:val="20"/>
          <w:lang w:val="nl-NL"/>
        </w:rPr>
        <w:t xml:space="preserve"> </w:t>
      </w:r>
      <w:r w:rsidR="00963A9C" w:rsidRPr="00190A6C">
        <w:rPr>
          <w:rFonts w:asciiTheme="majorBidi" w:hAnsiTheme="majorBidi" w:cstheme="majorBidi"/>
          <w:sz w:val="20"/>
          <w:szCs w:val="20"/>
          <w:lang w:val="nl-NL"/>
        </w:rPr>
        <w:t xml:space="preserve">Wu, D. G., Wang, Y. Y., Fan, L. G., Hui, L. U. O., Bin, H. A. N., Sun, L. H., ... </w:t>
      </w:r>
      <w:r w:rsidR="00963A9C" w:rsidRPr="00963A9C">
        <w:rPr>
          <w:rFonts w:asciiTheme="majorBidi" w:hAnsiTheme="majorBidi" w:cstheme="majorBidi"/>
          <w:sz w:val="20"/>
          <w:szCs w:val="20"/>
        </w:rPr>
        <w:t>&amp; Ning, L. I. U. (2011). MicroRNA-7 regulates glioblastoma cell invasion via targeting focal adhesion kinase expression. </w:t>
      </w:r>
      <w:r w:rsidR="00963A9C" w:rsidRPr="00963A9C">
        <w:rPr>
          <w:rFonts w:asciiTheme="majorBidi" w:hAnsiTheme="majorBidi" w:cstheme="majorBidi"/>
          <w:i/>
          <w:iCs/>
          <w:sz w:val="20"/>
          <w:szCs w:val="20"/>
        </w:rPr>
        <w:t>Chinese medical journal</w:t>
      </w:r>
      <w:r w:rsidR="00963A9C" w:rsidRPr="00963A9C">
        <w:rPr>
          <w:rFonts w:asciiTheme="majorBidi" w:hAnsiTheme="majorBidi" w:cstheme="majorBidi"/>
          <w:sz w:val="20"/>
          <w:szCs w:val="20"/>
        </w:rPr>
        <w:t>, </w:t>
      </w:r>
      <w:r w:rsidR="00963A9C" w:rsidRPr="00963A9C">
        <w:rPr>
          <w:rFonts w:asciiTheme="majorBidi" w:hAnsiTheme="majorBidi" w:cstheme="majorBidi"/>
          <w:i/>
          <w:iCs/>
          <w:sz w:val="20"/>
          <w:szCs w:val="20"/>
        </w:rPr>
        <w:t>124</w:t>
      </w:r>
      <w:r w:rsidR="00963A9C" w:rsidRPr="00963A9C">
        <w:rPr>
          <w:rFonts w:asciiTheme="majorBidi" w:hAnsiTheme="majorBidi" w:cstheme="majorBidi"/>
          <w:sz w:val="20"/>
          <w:szCs w:val="20"/>
        </w:rPr>
        <w:t>(17), 2616-2621.</w:t>
      </w:r>
    </w:p>
    <w:p w14:paraId="2E15F34D" w14:textId="25677315" w:rsidR="00EA5D44" w:rsidRPr="00963A9C" w:rsidRDefault="00211C24" w:rsidP="00190A6C">
      <w:pPr>
        <w:pStyle w:val="ListParagraph"/>
        <w:numPr>
          <w:ilvl w:val="0"/>
          <w:numId w:val="21"/>
        </w:numPr>
        <w:bidi w:val="0"/>
        <w:spacing w:after="0" w:line="240" w:lineRule="auto"/>
        <w:contextualSpacing w:val="0"/>
        <w:jc w:val="both"/>
        <w:rPr>
          <w:rFonts w:asciiTheme="majorBidi" w:hAnsiTheme="majorBidi" w:cstheme="majorBidi"/>
          <w:sz w:val="20"/>
          <w:szCs w:val="20"/>
        </w:rPr>
      </w:pPr>
      <w:r w:rsidRPr="00963A9C">
        <w:rPr>
          <w:rFonts w:asciiTheme="majorBidi" w:hAnsiTheme="majorBidi" w:cstheme="majorBidi"/>
          <w:sz w:val="20"/>
          <w:szCs w:val="20"/>
        </w:rPr>
        <w:t xml:space="preserve"> </w:t>
      </w:r>
      <w:r w:rsidR="00963A9C" w:rsidRPr="00963A9C">
        <w:rPr>
          <w:rFonts w:asciiTheme="majorBidi" w:hAnsiTheme="majorBidi" w:cstheme="majorBidi"/>
          <w:sz w:val="20"/>
          <w:szCs w:val="20"/>
        </w:rPr>
        <w:t>Kong, X., Li, G., Yuan, Y., He, Y., Wu, X., Zhang, W., ... &amp; Zhu, T. (2012). MicroRNA-7 inhibits epithelial-to-mesenchymal transition and metastasis of breast cancer cells via targeting FAK expression.</w:t>
      </w:r>
    </w:p>
    <w:p w14:paraId="6CF275FE" w14:textId="77777777" w:rsidR="00211C24" w:rsidRPr="00530799" w:rsidRDefault="00211C24" w:rsidP="00530799">
      <w:pPr>
        <w:bidi w:val="0"/>
        <w:spacing w:after="0" w:line="240" w:lineRule="auto"/>
        <w:ind w:left="90"/>
        <w:jc w:val="both"/>
        <w:rPr>
          <w:rFonts w:asciiTheme="majorBidi" w:hAnsiTheme="majorBidi" w:cstheme="majorBidi"/>
          <w:sz w:val="20"/>
          <w:szCs w:val="20"/>
        </w:rPr>
      </w:pPr>
    </w:p>
    <w:sectPr w:rsidR="00211C24" w:rsidRPr="00530799" w:rsidSect="00E8712B">
      <w:type w:val="continuous"/>
      <w:pgSz w:w="11909" w:h="16834" w:code="9"/>
      <w:pgMar w:top="1440" w:right="929"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6F72" w14:textId="77777777" w:rsidR="00313EE5" w:rsidRDefault="00313EE5" w:rsidP="001344BD">
      <w:pPr>
        <w:spacing w:after="0" w:line="240" w:lineRule="auto"/>
      </w:pPr>
      <w:r>
        <w:separator/>
      </w:r>
    </w:p>
  </w:endnote>
  <w:endnote w:type="continuationSeparator" w:id="0">
    <w:p w14:paraId="6A1EDC1C" w14:textId="77777777" w:rsidR="00313EE5" w:rsidRDefault="00313EE5" w:rsidP="0013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charset w:val="80"/>
    <w:family w:val="auto"/>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dvTimes">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05A94" w14:textId="77777777" w:rsidR="00313EE5" w:rsidRDefault="00313EE5" w:rsidP="001344BD">
      <w:pPr>
        <w:spacing w:after="0" w:line="240" w:lineRule="auto"/>
      </w:pPr>
      <w:r>
        <w:separator/>
      </w:r>
    </w:p>
  </w:footnote>
  <w:footnote w:type="continuationSeparator" w:id="0">
    <w:p w14:paraId="31512B16" w14:textId="77777777" w:rsidR="00313EE5" w:rsidRDefault="00313EE5" w:rsidP="00134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F618" w14:textId="77777777" w:rsidR="00E73856" w:rsidRPr="000E6E03" w:rsidRDefault="00E73856" w:rsidP="000E6E03">
    <w:pPr>
      <w:pStyle w:val="Header"/>
      <w:bidi w:val="0"/>
      <w:rPr>
        <w:rFonts w:asciiTheme="majorBidi" w:hAnsiTheme="majorBidi" w:cstheme="majorBidi"/>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FCFB8" w14:textId="4561268B" w:rsidR="00E73856" w:rsidRPr="000E6E03" w:rsidRDefault="00E73856" w:rsidP="00AD0350">
    <w:pPr>
      <w:pStyle w:val="Header"/>
      <w:bidi w:val="0"/>
      <w:rPr>
        <w:rFonts w:asciiTheme="majorBidi" w:hAnsiTheme="majorBidi" w:cstheme="majorBidi"/>
        <w:b/>
        <w:bCs/>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1011" w14:textId="62E550EE" w:rsidR="00E73856" w:rsidRPr="000E6E03" w:rsidRDefault="00E73856" w:rsidP="000E6E03">
    <w:pPr>
      <w:tabs>
        <w:tab w:val="center" w:pos="4680"/>
        <w:tab w:val="right" w:pos="9360"/>
      </w:tabs>
      <w:bidi w:val="0"/>
      <w:spacing w:after="0" w:line="240" w:lineRule="auto"/>
      <w:jc w:val="center"/>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768"/>
    <w:multiLevelType w:val="hybridMultilevel"/>
    <w:tmpl w:val="EF0417E4"/>
    <w:lvl w:ilvl="0" w:tplc="E084EC1E">
      <w:start w:val="2"/>
      <w:numFmt w:val="bullet"/>
      <w:lvlText w:val="-"/>
      <w:lvlJc w:val="left"/>
      <w:pPr>
        <w:ind w:left="720" w:hanging="360"/>
      </w:pPr>
      <w:rPr>
        <w:rFonts w:ascii="TimesNewRoman" w:eastAsia="Times New Roman" w:hAnsi="TimesNewRom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F6406"/>
    <w:multiLevelType w:val="hybridMultilevel"/>
    <w:tmpl w:val="F2E00AFC"/>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17A6B"/>
    <w:multiLevelType w:val="hybridMultilevel"/>
    <w:tmpl w:val="44EC64C8"/>
    <w:lvl w:ilvl="0" w:tplc="9A3A288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73972"/>
    <w:multiLevelType w:val="hybridMultilevel"/>
    <w:tmpl w:val="A39C3674"/>
    <w:lvl w:ilvl="0" w:tplc="9A3A2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C2ED5"/>
    <w:multiLevelType w:val="hybridMultilevel"/>
    <w:tmpl w:val="A7C0DBB6"/>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922DE"/>
    <w:multiLevelType w:val="hybridMultilevel"/>
    <w:tmpl w:val="A66C3148"/>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4B4DAD"/>
    <w:multiLevelType w:val="hybridMultilevel"/>
    <w:tmpl w:val="762AA2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307D4"/>
    <w:multiLevelType w:val="hybridMultilevel"/>
    <w:tmpl w:val="1E864216"/>
    <w:lvl w:ilvl="0" w:tplc="0409000F">
      <w:start w:val="1"/>
      <w:numFmt w:val="decimal"/>
      <w:lvlText w:val="%1."/>
      <w:lvlJc w:val="left"/>
      <w:pPr>
        <w:ind w:left="45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5BC3D6C"/>
    <w:multiLevelType w:val="hybridMultilevel"/>
    <w:tmpl w:val="DEA0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BD5607"/>
    <w:multiLevelType w:val="hybridMultilevel"/>
    <w:tmpl w:val="07D02DC2"/>
    <w:lvl w:ilvl="0" w:tplc="12CC8F9E">
      <w:start w:val="1"/>
      <w:numFmt w:val="decimal"/>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E29C5"/>
    <w:multiLevelType w:val="hybridMultilevel"/>
    <w:tmpl w:val="A244790E"/>
    <w:lvl w:ilvl="0" w:tplc="0409000F">
      <w:start w:val="1"/>
      <w:numFmt w:val="decimal"/>
      <w:lvlText w:val="%1."/>
      <w:lvlJc w:val="left"/>
      <w:pPr>
        <w:ind w:left="45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F987C73"/>
    <w:multiLevelType w:val="hybridMultilevel"/>
    <w:tmpl w:val="A66C3148"/>
    <w:lvl w:ilvl="0" w:tplc="438247F2">
      <w:start w:val="1"/>
      <w:numFmt w:val="decimal"/>
      <w:lvlText w:val="%1-"/>
      <w:lvlJc w:val="left"/>
      <w:pPr>
        <w:ind w:left="644" w:hanging="360"/>
      </w:pPr>
      <w:rPr>
        <w:rFonts w:asciiTheme="minorHAnsi" w:hAnsiTheme="minorHAnsi" w:cstheme="minorBidi"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8825D48"/>
    <w:multiLevelType w:val="hybridMultilevel"/>
    <w:tmpl w:val="C7B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77DD8"/>
    <w:multiLevelType w:val="hybridMultilevel"/>
    <w:tmpl w:val="1310A526"/>
    <w:lvl w:ilvl="0" w:tplc="12CC8F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045A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5CD6B4E"/>
    <w:multiLevelType w:val="hybridMultilevel"/>
    <w:tmpl w:val="6F7E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25E62"/>
    <w:multiLevelType w:val="multilevel"/>
    <w:tmpl w:val="3790EE74"/>
    <w:lvl w:ilvl="0">
      <w:start w:val="1"/>
      <w:numFmt w:val="bullet"/>
      <w:lvlText w:val=""/>
      <w:lvlJc w:val="left"/>
      <w:pPr>
        <w:ind w:left="360" w:hanging="360"/>
      </w:pPr>
      <w:rPr>
        <w:rFonts w:ascii="Wingdings" w:hAnsi="Wingdings" w:hint="default"/>
      </w:rPr>
    </w:lvl>
    <w:lvl w:ilvl="1">
      <w:start w:val="1"/>
      <w:numFmt w:val="bullet"/>
      <w:lvlText w:val=""/>
      <w:lvlJc w:val="left"/>
      <w:pPr>
        <w:ind w:left="450" w:hanging="360"/>
      </w:pPr>
      <w:rPr>
        <w:rFonts w:ascii="Wingdings" w:hAnsi="Wingdings" w:hint="default"/>
        <w:b w:val="0"/>
        <w:bCs w:val="0"/>
        <w:i w:val="0"/>
        <w:sz w:val="20"/>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00266A7"/>
    <w:multiLevelType w:val="hybridMultilevel"/>
    <w:tmpl w:val="A7C0D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6C22FB"/>
    <w:multiLevelType w:val="hybridMultilevel"/>
    <w:tmpl w:val="A7C0DB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9D0B04"/>
    <w:multiLevelType w:val="hybridMultilevel"/>
    <w:tmpl w:val="240AF11A"/>
    <w:lvl w:ilvl="0" w:tplc="4874DDB0">
      <w:start w:val="1"/>
      <w:numFmt w:val="decimal"/>
      <w:lvlText w:val="[%1]"/>
      <w:lvlJc w:val="left"/>
      <w:pPr>
        <w:ind w:left="45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B595165"/>
    <w:multiLevelType w:val="hybridMultilevel"/>
    <w:tmpl w:val="11648AA0"/>
    <w:lvl w:ilvl="0" w:tplc="FA9A8ABC">
      <w:start w:val="1"/>
      <w:numFmt w:val="decimal"/>
      <w:lvlText w:val="[%1]."/>
      <w:lvlJc w:val="left"/>
      <w:pPr>
        <w:ind w:left="45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F7C1139"/>
    <w:multiLevelType w:val="hybridMultilevel"/>
    <w:tmpl w:val="F1EC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6"/>
  </w:num>
  <w:num w:numId="6">
    <w:abstractNumId w:val="0"/>
  </w:num>
  <w:num w:numId="7">
    <w:abstractNumId w:val="12"/>
  </w:num>
  <w:num w:numId="8">
    <w:abstractNumId w:val="13"/>
  </w:num>
  <w:num w:numId="9">
    <w:abstractNumId w:val="9"/>
  </w:num>
  <w:num w:numId="10">
    <w:abstractNumId w:val="16"/>
  </w:num>
  <w:num w:numId="11">
    <w:abstractNumId w:val="14"/>
  </w:num>
  <w:num w:numId="12">
    <w:abstractNumId w:val="11"/>
  </w:num>
  <w:num w:numId="13">
    <w:abstractNumId w:val="5"/>
  </w:num>
  <w:num w:numId="14">
    <w:abstractNumId w:val="1"/>
  </w:num>
  <w:num w:numId="15">
    <w:abstractNumId w:val="21"/>
  </w:num>
  <w:num w:numId="16">
    <w:abstractNumId w:val="20"/>
  </w:num>
  <w:num w:numId="17">
    <w:abstractNumId w:val="7"/>
  </w:num>
  <w:num w:numId="18">
    <w:abstractNumId w:val="19"/>
  </w:num>
  <w:num w:numId="19">
    <w:abstractNumId w:val="4"/>
  </w:num>
  <w:num w:numId="20">
    <w:abstractNumId w:val="15"/>
  </w:num>
  <w:num w:numId="21">
    <w:abstractNumId w:val="10"/>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C0"/>
    <w:rsid w:val="000047FF"/>
    <w:rsid w:val="00013955"/>
    <w:rsid w:val="00013A05"/>
    <w:rsid w:val="000146F5"/>
    <w:rsid w:val="00015E52"/>
    <w:rsid w:val="00030DC9"/>
    <w:rsid w:val="0003109F"/>
    <w:rsid w:val="00032434"/>
    <w:rsid w:val="00033611"/>
    <w:rsid w:val="0003660B"/>
    <w:rsid w:val="00055FEE"/>
    <w:rsid w:val="000613F4"/>
    <w:rsid w:val="00070981"/>
    <w:rsid w:val="000731E3"/>
    <w:rsid w:val="00073285"/>
    <w:rsid w:val="00076C65"/>
    <w:rsid w:val="000802F5"/>
    <w:rsid w:val="000827BF"/>
    <w:rsid w:val="00083126"/>
    <w:rsid w:val="00090D91"/>
    <w:rsid w:val="00090EB4"/>
    <w:rsid w:val="00093B51"/>
    <w:rsid w:val="000957B9"/>
    <w:rsid w:val="0009716C"/>
    <w:rsid w:val="000A11E4"/>
    <w:rsid w:val="000A1BC6"/>
    <w:rsid w:val="000A27F2"/>
    <w:rsid w:val="000B4E55"/>
    <w:rsid w:val="000B6ECD"/>
    <w:rsid w:val="000C090C"/>
    <w:rsid w:val="000C423E"/>
    <w:rsid w:val="000C5C25"/>
    <w:rsid w:val="000C7F76"/>
    <w:rsid w:val="000D1628"/>
    <w:rsid w:val="000D56ED"/>
    <w:rsid w:val="000D5E2E"/>
    <w:rsid w:val="000D60EB"/>
    <w:rsid w:val="000D6BEF"/>
    <w:rsid w:val="000D7386"/>
    <w:rsid w:val="000D7D3F"/>
    <w:rsid w:val="000E3364"/>
    <w:rsid w:val="000E4CFC"/>
    <w:rsid w:val="000E6E03"/>
    <w:rsid w:val="000E7FF8"/>
    <w:rsid w:val="000F0371"/>
    <w:rsid w:val="000F0C78"/>
    <w:rsid w:val="000F19DD"/>
    <w:rsid w:val="000F6514"/>
    <w:rsid w:val="001133A1"/>
    <w:rsid w:val="001142A4"/>
    <w:rsid w:val="001172FC"/>
    <w:rsid w:val="00120D82"/>
    <w:rsid w:val="001308B0"/>
    <w:rsid w:val="001334BB"/>
    <w:rsid w:val="001344BD"/>
    <w:rsid w:val="00136D70"/>
    <w:rsid w:val="001401CB"/>
    <w:rsid w:val="00146970"/>
    <w:rsid w:val="001470D5"/>
    <w:rsid w:val="001521EF"/>
    <w:rsid w:val="00164055"/>
    <w:rsid w:val="00165D00"/>
    <w:rsid w:val="00165E87"/>
    <w:rsid w:val="001747A9"/>
    <w:rsid w:val="001816E9"/>
    <w:rsid w:val="00183F65"/>
    <w:rsid w:val="00184A44"/>
    <w:rsid w:val="00190A6C"/>
    <w:rsid w:val="00190EBE"/>
    <w:rsid w:val="00197370"/>
    <w:rsid w:val="001A0712"/>
    <w:rsid w:val="001A5200"/>
    <w:rsid w:val="001A7F6B"/>
    <w:rsid w:val="001B2EDD"/>
    <w:rsid w:val="001D015F"/>
    <w:rsid w:val="001D3625"/>
    <w:rsid w:val="001D438C"/>
    <w:rsid w:val="001E6B46"/>
    <w:rsid w:val="001F091F"/>
    <w:rsid w:val="001F5059"/>
    <w:rsid w:val="002015D5"/>
    <w:rsid w:val="00210D54"/>
    <w:rsid w:val="00211C24"/>
    <w:rsid w:val="00213B99"/>
    <w:rsid w:val="00215C10"/>
    <w:rsid w:val="00232FBC"/>
    <w:rsid w:val="00237639"/>
    <w:rsid w:val="00251B65"/>
    <w:rsid w:val="00262298"/>
    <w:rsid w:val="0026620E"/>
    <w:rsid w:val="002679A8"/>
    <w:rsid w:val="00270D10"/>
    <w:rsid w:val="0027252C"/>
    <w:rsid w:val="002847C3"/>
    <w:rsid w:val="00290934"/>
    <w:rsid w:val="0029518F"/>
    <w:rsid w:val="00296417"/>
    <w:rsid w:val="002A20E4"/>
    <w:rsid w:val="002A56BA"/>
    <w:rsid w:val="002A74E0"/>
    <w:rsid w:val="002B1EFE"/>
    <w:rsid w:val="002B37C9"/>
    <w:rsid w:val="002B464B"/>
    <w:rsid w:val="002D0A0D"/>
    <w:rsid w:val="002D5843"/>
    <w:rsid w:val="002D6684"/>
    <w:rsid w:val="002D6727"/>
    <w:rsid w:val="002E06A2"/>
    <w:rsid w:val="002E23B3"/>
    <w:rsid w:val="002F460A"/>
    <w:rsid w:val="002F4F25"/>
    <w:rsid w:val="002F56F8"/>
    <w:rsid w:val="00301E19"/>
    <w:rsid w:val="00305479"/>
    <w:rsid w:val="003078C0"/>
    <w:rsid w:val="00313EE5"/>
    <w:rsid w:val="00315CE7"/>
    <w:rsid w:val="0032298F"/>
    <w:rsid w:val="00322B14"/>
    <w:rsid w:val="003261A2"/>
    <w:rsid w:val="0035588B"/>
    <w:rsid w:val="00366634"/>
    <w:rsid w:val="00366C36"/>
    <w:rsid w:val="003702C5"/>
    <w:rsid w:val="00373C01"/>
    <w:rsid w:val="00373F39"/>
    <w:rsid w:val="00383449"/>
    <w:rsid w:val="00392884"/>
    <w:rsid w:val="00394875"/>
    <w:rsid w:val="003A2695"/>
    <w:rsid w:val="003A493E"/>
    <w:rsid w:val="003A77EE"/>
    <w:rsid w:val="003B00E4"/>
    <w:rsid w:val="003B24E3"/>
    <w:rsid w:val="003B461E"/>
    <w:rsid w:val="003B63FD"/>
    <w:rsid w:val="003B6934"/>
    <w:rsid w:val="003B6B75"/>
    <w:rsid w:val="003C3580"/>
    <w:rsid w:val="003C6937"/>
    <w:rsid w:val="003C6F75"/>
    <w:rsid w:val="003D06DE"/>
    <w:rsid w:val="003D091E"/>
    <w:rsid w:val="003D31F5"/>
    <w:rsid w:val="003D400B"/>
    <w:rsid w:val="003D624C"/>
    <w:rsid w:val="003E6125"/>
    <w:rsid w:val="003E6577"/>
    <w:rsid w:val="003F72B6"/>
    <w:rsid w:val="00402A3B"/>
    <w:rsid w:val="004101B7"/>
    <w:rsid w:val="00416B80"/>
    <w:rsid w:val="00421993"/>
    <w:rsid w:val="004246D3"/>
    <w:rsid w:val="004259B8"/>
    <w:rsid w:val="00433250"/>
    <w:rsid w:val="004344C1"/>
    <w:rsid w:val="00437214"/>
    <w:rsid w:val="00444EC0"/>
    <w:rsid w:val="004451E8"/>
    <w:rsid w:val="00446157"/>
    <w:rsid w:val="004507AE"/>
    <w:rsid w:val="00456B7A"/>
    <w:rsid w:val="00461A4D"/>
    <w:rsid w:val="00465261"/>
    <w:rsid w:val="00470228"/>
    <w:rsid w:val="00471663"/>
    <w:rsid w:val="00471A7D"/>
    <w:rsid w:val="00474019"/>
    <w:rsid w:val="00480636"/>
    <w:rsid w:val="0048381B"/>
    <w:rsid w:val="00484A9F"/>
    <w:rsid w:val="004858E2"/>
    <w:rsid w:val="00486ECA"/>
    <w:rsid w:val="004915EA"/>
    <w:rsid w:val="004953DD"/>
    <w:rsid w:val="00495578"/>
    <w:rsid w:val="00496333"/>
    <w:rsid w:val="004A4F98"/>
    <w:rsid w:val="004B6239"/>
    <w:rsid w:val="004D214A"/>
    <w:rsid w:val="004D25F6"/>
    <w:rsid w:val="004D434B"/>
    <w:rsid w:val="004E126C"/>
    <w:rsid w:val="004E533C"/>
    <w:rsid w:val="004E5C4F"/>
    <w:rsid w:val="00504D57"/>
    <w:rsid w:val="00505EA3"/>
    <w:rsid w:val="00510532"/>
    <w:rsid w:val="005124CC"/>
    <w:rsid w:val="005136EB"/>
    <w:rsid w:val="0051486D"/>
    <w:rsid w:val="0053028A"/>
    <w:rsid w:val="00530799"/>
    <w:rsid w:val="00540288"/>
    <w:rsid w:val="00543807"/>
    <w:rsid w:val="00543C8D"/>
    <w:rsid w:val="00544B6A"/>
    <w:rsid w:val="00545155"/>
    <w:rsid w:val="005453BC"/>
    <w:rsid w:val="00550A25"/>
    <w:rsid w:val="00553432"/>
    <w:rsid w:val="005550EE"/>
    <w:rsid w:val="00556D23"/>
    <w:rsid w:val="0057003F"/>
    <w:rsid w:val="0057421A"/>
    <w:rsid w:val="00580130"/>
    <w:rsid w:val="00585E1B"/>
    <w:rsid w:val="005A3599"/>
    <w:rsid w:val="005A4BD3"/>
    <w:rsid w:val="005B14B1"/>
    <w:rsid w:val="005B1CE7"/>
    <w:rsid w:val="005B3823"/>
    <w:rsid w:val="005B60A7"/>
    <w:rsid w:val="005D22C8"/>
    <w:rsid w:val="005D2805"/>
    <w:rsid w:val="005D7704"/>
    <w:rsid w:val="005E77C7"/>
    <w:rsid w:val="005F0BED"/>
    <w:rsid w:val="005F1C09"/>
    <w:rsid w:val="005F29DB"/>
    <w:rsid w:val="005F3EB1"/>
    <w:rsid w:val="00600DF1"/>
    <w:rsid w:val="006127C3"/>
    <w:rsid w:val="00636865"/>
    <w:rsid w:val="00645B4F"/>
    <w:rsid w:val="00661104"/>
    <w:rsid w:val="00670F85"/>
    <w:rsid w:val="00670FA0"/>
    <w:rsid w:val="00672765"/>
    <w:rsid w:val="00673D63"/>
    <w:rsid w:val="00683571"/>
    <w:rsid w:val="0069534F"/>
    <w:rsid w:val="006A1027"/>
    <w:rsid w:val="006A1106"/>
    <w:rsid w:val="006A4242"/>
    <w:rsid w:val="006B5E5C"/>
    <w:rsid w:val="006C2B9F"/>
    <w:rsid w:val="006C2BB0"/>
    <w:rsid w:val="006C30C6"/>
    <w:rsid w:val="006C5A6E"/>
    <w:rsid w:val="006D2A16"/>
    <w:rsid w:val="006D6266"/>
    <w:rsid w:val="006E5F6C"/>
    <w:rsid w:val="006E7477"/>
    <w:rsid w:val="006E7EE0"/>
    <w:rsid w:val="007059D1"/>
    <w:rsid w:val="00707527"/>
    <w:rsid w:val="0071269E"/>
    <w:rsid w:val="00712A0D"/>
    <w:rsid w:val="00715878"/>
    <w:rsid w:val="00735B88"/>
    <w:rsid w:val="00735FF1"/>
    <w:rsid w:val="00742685"/>
    <w:rsid w:val="007430B4"/>
    <w:rsid w:val="00746AEC"/>
    <w:rsid w:val="007528F6"/>
    <w:rsid w:val="00753219"/>
    <w:rsid w:val="0076570B"/>
    <w:rsid w:val="00770E67"/>
    <w:rsid w:val="007738E0"/>
    <w:rsid w:val="00773B06"/>
    <w:rsid w:val="0077792D"/>
    <w:rsid w:val="007814FD"/>
    <w:rsid w:val="00785E90"/>
    <w:rsid w:val="007A2FC4"/>
    <w:rsid w:val="007B070E"/>
    <w:rsid w:val="007B2C3E"/>
    <w:rsid w:val="007D0986"/>
    <w:rsid w:val="007E0B34"/>
    <w:rsid w:val="007E3158"/>
    <w:rsid w:val="007E3837"/>
    <w:rsid w:val="007E3C1A"/>
    <w:rsid w:val="007E42DB"/>
    <w:rsid w:val="007F119E"/>
    <w:rsid w:val="007F1225"/>
    <w:rsid w:val="007F2C0B"/>
    <w:rsid w:val="007F42AB"/>
    <w:rsid w:val="008027F6"/>
    <w:rsid w:val="008035C4"/>
    <w:rsid w:val="00803F83"/>
    <w:rsid w:val="008050AD"/>
    <w:rsid w:val="00810BF9"/>
    <w:rsid w:val="00811104"/>
    <w:rsid w:val="0081276A"/>
    <w:rsid w:val="0081278B"/>
    <w:rsid w:val="00820D61"/>
    <w:rsid w:val="00822F6D"/>
    <w:rsid w:val="008309D7"/>
    <w:rsid w:val="00834327"/>
    <w:rsid w:val="008362EC"/>
    <w:rsid w:val="00836743"/>
    <w:rsid w:val="0083747A"/>
    <w:rsid w:val="008378BF"/>
    <w:rsid w:val="008456C1"/>
    <w:rsid w:val="00856BFF"/>
    <w:rsid w:val="008620FA"/>
    <w:rsid w:val="00870095"/>
    <w:rsid w:val="00872C4E"/>
    <w:rsid w:val="00873ABC"/>
    <w:rsid w:val="00874B3C"/>
    <w:rsid w:val="00876CFD"/>
    <w:rsid w:val="008840D9"/>
    <w:rsid w:val="00892702"/>
    <w:rsid w:val="008A05AE"/>
    <w:rsid w:val="008A22B5"/>
    <w:rsid w:val="008A7AA2"/>
    <w:rsid w:val="008B2D12"/>
    <w:rsid w:val="008B445D"/>
    <w:rsid w:val="008B4FA9"/>
    <w:rsid w:val="008C5B72"/>
    <w:rsid w:val="008C794F"/>
    <w:rsid w:val="008D7CDA"/>
    <w:rsid w:val="008E05DD"/>
    <w:rsid w:val="008E2EA1"/>
    <w:rsid w:val="008E319B"/>
    <w:rsid w:val="008F01C5"/>
    <w:rsid w:val="008F0AF0"/>
    <w:rsid w:val="008F34AB"/>
    <w:rsid w:val="009047FD"/>
    <w:rsid w:val="009060BB"/>
    <w:rsid w:val="0091160B"/>
    <w:rsid w:val="00915877"/>
    <w:rsid w:val="00917F46"/>
    <w:rsid w:val="00924046"/>
    <w:rsid w:val="0092536E"/>
    <w:rsid w:val="00927C44"/>
    <w:rsid w:val="009301AD"/>
    <w:rsid w:val="009318C5"/>
    <w:rsid w:val="00932101"/>
    <w:rsid w:val="00932C74"/>
    <w:rsid w:val="00933BB9"/>
    <w:rsid w:val="00934E89"/>
    <w:rsid w:val="00935507"/>
    <w:rsid w:val="009358A0"/>
    <w:rsid w:val="00942D24"/>
    <w:rsid w:val="0094300E"/>
    <w:rsid w:val="00953CAC"/>
    <w:rsid w:val="00963A9C"/>
    <w:rsid w:val="00965387"/>
    <w:rsid w:val="00975497"/>
    <w:rsid w:val="00981F57"/>
    <w:rsid w:val="009830E8"/>
    <w:rsid w:val="009845F2"/>
    <w:rsid w:val="00985C71"/>
    <w:rsid w:val="00993C10"/>
    <w:rsid w:val="00995EF1"/>
    <w:rsid w:val="009A2AA0"/>
    <w:rsid w:val="009A4910"/>
    <w:rsid w:val="009B3D66"/>
    <w:rsid w:val="009B47A7"/>
    <w:rsid w:val="009C2837"/>
    <w:rsid w:val="009E162F"/>
    <w:rsid w:val="009E52F0"/>
    <w:rsid w:val="009F662C"/>
    <w:rsid w:val="00A00C19"/>
    <w:rsid w:val="00A12070"/>
    <w:rsid w:val="00A17A63"/>
    <w:rsid w:val="00A17E08"/>
    <w:rsid w:val="00A205D2"/>
    <w:rsid w:val="00A33835"/>
    <w:rsid w:val="00A50FE7"/>
    <w:rsid w:val="00A51499"/>
    <w:rsid w:val="00A51935"/>
    <w:rsid w:val="00A54AA3"/>
    <w:rsid w:val="00A56BBA"/>
    <w:rsid w:val="00A57E77"/>
    <w:rsid w:val="00A6537B"/>
    <w:rsid w:val="00A6644F"/>
    <w:rsid w:val="00A67469"/>
    <w:rsid w:val="00A73A33"/>
    <w:rsid w:val="00A85057"/>
    <w:rsid w:val="00A923C0"/>
    <w:rsid w:val="00A9331C"/>
    <w:rsid w:val="00A96768"/>
    <w:rsid w:val="00AA140F"/>
    <w:rsid w:val="00AB2076"/>
    <w:rsid w:val="00AB49D9"/>
    <w:rsid w:val="00AB591F"/>
    <w:rsid w:val="00AC6160"/>
    <w:rsid w:val="00AD0350"/>
    <w:rsid w:val="00AD3B1C"/>
    <w:rsid w:val="00AD6ACC"/>
    <w:rsid w:val="00AD7DD3"/>
    <w:rsid w:val="00AF3AF5"/>
    <w:rsid w:val="00B00DCC"/>
    <w:rsid w:val="00B01465"/>
    <w:rsid w:val="00B02CC0"/>
    <w:rsid w:val="00B04ED4"/>
    <w:rsid w:val="00B1522D"/>
    <w:rsid w:val="00B15436"/>
    <w:rsid w:val="00B22569"/>
    <w:rsid w:val="00B3057E"/>
    <w:rsid w:val="00B30DEB"/>
    <w:rsid w:val="00B3129B"/>
    <w:rsid w:val="00B36888"/>
    <w:rsid w:val="00B42970"/>
    <w:rsid w:val="00B432B9"/>
    <w:rsid w:val="00B46B6D"/>
    <w:rsid w:val="00B522E0"/>
    <w:rsid w:val="00B53768"/>
    <w:rsid w:val="00B57387"/>
    <w:rsid w:val="00B60871"/>
    <w:rsid w:val="00B82FF8"/>
    <w:rsid w:val="00B83D64"/>
    <w:rsid w:val="00B872DB"/>
    <w:rsid w:val="00B92FE1"/>
    <w:rsid w:val="00B941EA"/>
    <w:rsid w:val="00B971ED"/>
    <w:rsid w:val="00BA1930"/>
    <w:rsid w:val="00BC0E6C"/>
    <w:rsid w:val="00BC5922"/>
    <w:rsid w:val="00BD2F71"/>
    <w:rsid w:val="00BD64A5"/>
    <w:rsid w:val="00BD7E34"/>
    <w:rsid w:val="00BE3911"/>
    <w:rsid w:val="00BE447B"/>
    <w:rsid w:val="00BE69D6"/>
    <w:rsid w:val="00BF49F2"/>
    <w:rsid w:val="00C01919"/>
    <w:rsid w:val="00C02542"/>
    <w:rsid w:val="00C03992"/>
    <w:rsid w:val="00C06982"/>
    <w:rsid w:val="00C2050C"/>
    <w:rsid w:val="00C21D16"/>
    <w:rsid w:val="00C26C97"/>
    <w:rsid w:val="00C27517"/>
    <w:rsid w:val="00C32549"/>
    <w:rsid w:val="00C407B7"/>
    <w:rsid w:val="00C434F4"/>
    <w:rsid w:val="00C468A8"/>
    <w:rsid w:val="00C51849"/>
    <w:rsid w:val="00C601E7"/>
    <w:rsid w:val="00C744C5"/>
    <w:rsid w:val="00C75461"/>
    <w:rsid w:val="00C81544"/>
    <w:rsid w:val="00C81681"/>
    <w:rsid w:val="00C851B5"/>
    <w:rsid w:val="00C90387"/>
    <w:rsid w:val="00C92A08"/>
    <w:rsid w:val="00CA3F0D"/>
    <w:rsid w:val="00CB026A"/>
    <w:rsid w:val="00CB2B6D"/>
    <w:rsid w:val="00CB35CA"/>
    <w:rsid w:val="00CB592D"/>
    <w:rsid w:val="00CC2D86"/>
    <w:rsid w:val="00CC4733"/>
    <w:rsid w:val="00CD013C"/>
    <w:rsid w:val="00CE29D3"/>
    <w:rsid w:val="00CE4823"/>
    <w:rsid w:val="00CE5475"/>
    <w:rsid w:val="00CE5AEE"/>
    <w:rsid w:val="00CE68AE"/>
    <w:rsid w:val="00CF3FDD"/>
    <w:rsid w:val="00CF477E"/>
    <w:rsid w:val="00CF549C"/>
    <w:rsid w:val="00CF5AEB"/>
    <w:rsid w:val="00D0009B"/>
    <w:rsid w:val="00D037A6"/>
    <w:rsid w:val="00D0552D"/>
    <w:rsid w:val="00D06E8C"/>
    <w:rsid w:val="00D07C1F"/>
    <w:rsid w:val="00D11D90"/>
    <w:rsid w:val="00D16969"/>
    <w:rsid w:val="00D176B2"/>
    <w:rsid w:val="00D25FC7"/>
    <w:rsid w:val="00D3397C"/>
    <w:rsid w:val="00D44845"/>
    <w:rsid w:val="00D523A7"/>
    <w:rsid w:val="00D52817"/>
    <w:rsid w:val="00D52C7E"/>
    <w:rsid w:val="00D5396F"/>
    <w:rsid w:val="00D60335"/>
    <w:rsid w:val="00D62459"/>
    <w:rsid w:val="00D65590"/>
    <w:rsid w:val="00D70D69"/>
    <w:rsid w:val="00D717C6"/>
    <w:rsid w:val="00D753E0"/>
    <w:rsid w:val="00D81328"/>
    <w:rsid w:val="00D90929"/>
    <w:rsid w:val="00DA3CA6"/>
    <w:rsid w:val="00DB461A"/>
    <w:rsid w:val="00DC02A1"/>
    <w:rsid w:val="00DC5530"/>
    <w:rsid w:val="00DD02C5"/>
    <w:rsid w:val="00DD5F4C"/>
    <w:rsid w:val="00DD7254"/>
    <w:rsid w:val="00DE38A5"/>
    <w:rsid w:val="00DE3B97"/>
    <w:rsid w:val="00DF1F6A"/>
    <w:rsid w:val="00DF3862"/>
    <w:rsid w:val="00E16071"/>
    <w:rsid w:val="00E16497"/>
    <w:rsid w:val="00E1721D"/>
    <w:rsid w:val="00E25203"/>
    <w:rsid w:val="00E35137"/>
    <w:rsid w:val="00E41879"/>
    <w:rsid w:val="00E4498F"/>
    <w:rsid w:val="00E553D1"/>
    <w:rsid w:val="00E5547E"/>
    <w:rsid w:val="00E55606"/>
    <w:rsid w:val="00E60CA5"/>
    <w:rsid w:val="00E61B26"/>
    <w:rsid w:val="00E63EB3"/>
    <w:rsid w:val="00E64D30"/>
    <w:rsid w:val="00E73856"/>
    <w:rsid w:val="00E7793F"/>
    <w:rsid w:val="00E822CF"/>
    <w:rsid w:val="00E82685"/>
    <w:rsid w:val="00E85B72"/>
    <w:rsid w:val="00E8712B"/>
    <w:rsid w:val="00E9023F"/>
    <w:rsid w:val="00EA189D"/>
    <w:rsid w:val="00EA5D44"/>
    <w:rsid w:val="00EB0F87"/>
    <w:rsid w:val="00EB11B1"/>
    <w:rsid w:val="00EB20D4"/>
    <w:rsid w:val="00EB3AAB"/>
    <w:rsid w:val="00EB640B"/>
    <w:rsid w:val="00EB672C"/>
    <w:rsid w:val="00EB795A"/>
    <w:rsid w:val="00EC13F2"/>
    <w:rsid w:val="00EC5BB4"/>
    <w:rsid w:val="00ED0243"/>
    <w:rsid w:val="00EE32BB"/>
    <w:rsid w:val="00EE3BC0"/>
    <w:rsid w:val="00EF266B"/>
    <w:rsid w:val="00EF7563"/>
    <w:rsid w:val="00F0124C"/>
    <w:rsid w:val="00F01510"/>
    <w:rsid w:val="00F043E9"/>
    <w:rsid w:val="00F10AF5"/>
    <w:rsid w:val="00F126A7"/>
    <w:rsid w:val="00F16F15"/>
    <w:rsid w:val="00F204DB"/>
    <w:rsid w:val="00F2379D"/>
    <w:rsid w:val="00F24E78"/>
    <w:rsid w:val="00F277E8"/>
    <w:rsid w:val="00F30777"/>
    <w:rsid w:val="00F34DB8"/>
    <w:rsid w:val="00F3732E"/>
    <w:rsid w:val="00F405A3"/>
    <w:rsid w:val="00F4607D"/>
    <w:rsid w:val="00F47AE3"/>
    <w:rsid w:val="00F540FC"/>
    <w:rsid w:val="00F55EA6"/>
    <w:rsid w:val="00F70D0A"/>
    <w:rsid w:val="00F7406E"/>
    <w:rsid w:val="00F8231A"/>
    <w:rsid w:val="00F85440"/>
    <w:rsid w:val="00F94FE1"/>
    <w:rsid w:val="00F96638"/>
    <w:rsid w:val="00FA6470"/>
    <w:rsid w:val="00FA6B31"/>
    <w:rsid w:val="00FA729D"/>
    <w:rsid w:val="00FB017C"/>
    <w:rsid w:val="00FC66D0"/>
    <w:rsid w:val="00FD2C45"/>
    <w:rsid w:val="00FD388A"/>
    <w:rsid w:val="00FD3A4B"/>
    <w:rsid w:val="00F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9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2D"/>
    <w:pPr>
      <w:bidi/>
    </w:pPr>
    <w:rPr>
      <w:rFonts w:ascii="Calibri" w:eastAsia="Times New Roman" w:hAnsi="Calibri" w:cs="Arial"/>
    </w:rPr>
  </w:style>
  <w:style w:type="paragraph" w:styleId="Heading1">
    <w:name w:val="heading 1"/>
    <w:basedOn w:val="Normal"/>
    <w:next w:val="Normal"/>
    <w:link w:val="Heading1Char"/>
    <w:uiPriority w:val="9"/>
    <w:qFormat/>
    <w:rsid w:val="00F126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A0712"/>
    <w:pPr>
      <w:bidi w:val="0"/>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87"/>
    <w:pPr>
      <w:ind w:left="720"/>
      <w:contextualSpacing/>
    </w:pPr>
  </w:style>
  <w:style w:type="character" w:customStyle="1" w:styleId="fontstyle01">
    <w:name w:val="fontstyle01"/>
    <w:rsid w:val="00CC4733"/>
    <w:rPr>
      <w:rFonts w:ascii="TimesNewRomanPSMT" w:hAnsi="TimesNewRomanPSMT" w:hint="default"/>
      <w:b w:val="0"/>
      <w:bCs w:val="0"/>
      <w:i w:val="0"/>
      <w:iCs w:val="0"/>
      <w:color w:val="000000"/>
      <w:sz w:val="24"/>
      <w:szCs w:val="24"/>
    </w:rPr>
  </w:style>
  <w:style w:type="table" w:customStyle="1" w:styleId="PlainTable11">
    <w:name w:val="Plain Table 11"/>
    <w:basedOn w:val="TableNormal"/>
    <w:next w:val="PlainTable12"/>
    <w:uiPriority w:val="41"/>
    <w:rsid w:val="000D5E2E"/>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0D5E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A071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43C8D"/>
    <w:rPr>
      <w:color w:val="0000FF"/>
      <w:u w:val="single"/>
    </w:rPr>
  </w:style>
  <w:style w:type="character" w:styleId="Strong">
    <w:name w:val="Strong"/>
    <w:basedOn w:val="DefaultParagraphFont"/>
    <w:uiPriority w:val="22"/>
    <w:qFormat/>
    <w:rsid w:val="00E1721D"/>
    <w:rPr>
      <w:b/>
      <w:bCs/>
    </w:rPr>
  </w:style>
  <w:style w:type="paragraph" w:styleId="NormalWeb">
    <w:name w:val="Normal (Web)"/>
    <w:basedOn w:val="Normal"/>
    <w:uiPriority w:val="99"/>
    <w:semiHidden/>
    <w:unhideWhenUsed/>
    <w:rsid w:val="00820D61"/>
    <w:pPr>
      <w:bidi w:val="0"/>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3210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26A7"/>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8A22B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A22B5"/>
    <w:rPr>
      <w:rFonts w:eastAsiaTheme="minorEastAsia"/>
    </w:rPr>
  </w:style>
  <w:style w:type="paragraph" w:styleId="BalloonText">
    <w:name w:val="Balloon Text"/>
    <w:basedOn w:val="Normal"/>
    <w:link w:val="BalloonTextChar"/>
    <w:uiPriority w:val="99"/>
    <w:semiHidden/>
    <w:unhideWhenUsed/>
    <w:rsid w:val="008A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B5"/>
    <w:rPr>
      <w:rFonts w:ascii="Tahoma" w:eastAsia="Times New Roman" w:hAnsi="Tahoma" w:cs="Tahoma"/>
      <w:sz w:val="16"/>
      <w:szCs w:val="16"/>
    </w:rPr>
  </w:style>
  <w:style w:type="paragraph" w:styleId="Header">
    <w:name w:val="header"/>
    <w:basedOn w:val="Normal"/>
    <w:link w:val="HeaderChar"/>
    <w:uiPriority w:val="99"/>
    <w:unhideWhenUsed/>
    <w:rsid w:val="001344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4BD"/>
    <w:rPr>
      <w:rFonts w:ascii="Calibri" w:eastAsia="Times New Roman" w:hAnsi="Calibri" w:cs="Arial"/>
    </w:rPr>
  </w:style>
  <w:style w:type="paragraph" w:styleId="Footer">
    <w:name w:val="footer"/>
    <w:basedOn w:val="Normal"/>
    <w:link w:val="FooterChar"/>
    <w:uiPriority w:val="99"/>
    <w:unhideWhenUsed/>
    <w:rsid w:val="001344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4BD"/>
    <w:rPr>
      <w:rFonts w:ascii="Calibri" w:eastAsia="Times New Roman" w:hAnsi="Calibri" w:cs="Arial"/>
    </w:rPr>
  </w:style>
  <w:style w:type="character" w:styleId="CommentReference">
    <w:name w:val="annotation reference"/>
    <w:basedOn w:val="DefaultParagraphFont"/>
    <w:uiPriority w:val="99"/>
    <w:semiHidden/>
    <w:unhideWhenUsed/>
    <w:rsid w:val="006A4242"/>
    <w:rPr>
      <w:sz w:val="16"/>
      <w:szCs w:val="16"/>
    </w:rPr>
  </w:style>
  <w:style w:type="paragraph" w:styleId="CommentText">
    <w:name w:val="annotation text"/>
    <w:basedOn w:val="Normal"/>
    <w:link w:val="CommentTextChar"/>
    <w:uiPriority w:val="99"/>
    <w:semiHidden/>
    <w:unhideWhenUsed/>
    <w:rsid w:val="006A4242"/>
    <w:pPr>
      <w:spacing w:line="240" w:lineRule="auto"/>
    </w:pPr>
    <w:rPr>
      <w:sz w:val="20"/>
      <w:szCs w:val="20"/>
    </w:rPr>
  </w:style>
  <w:style w:type="character" w:customStyle="1" w:styleId="CommentTextChar">
    <w:name w:val="Comment Text Char"/>
    <w:basedOn w:val="DefaultParagraphFont"/>
    <w:link w:val="CommentText"/>
    <w:uiPriority w:val="99"/>
    <w:semiHidden/>
    <w:rsid w:val="006A424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6A4242"/>
    <w:rPr>
      <w:b/>
      <w:bCs/>
    </w:rPr>
  </w:style>
  <w:style w:type="character" w:customStyle="1" w:styleId="CommentSubjectChar">
    <w:name w:val="Comment Subject Char"/>
    <w:basedOn w:val="CommentTextChar"/>
    <w:link w:val="CommentSubject"/>
    <w:uiPriority w:val="99"/>
    <w:semiHidden/>
    <w:rsid w:val="006A4242"/>
    <w:rPr>
      <w:rFonts w:ascii="Calibri" w:eastAsia="Times New Roman" w:hAnsi="Calibri" w:cs="Arial"/>
      <w:b/>
      <w:bCs/>
      <w:sz w:val="20"/>
      <w:szCs w:val="20"/>
    </w:rPr>
  </w:style>
  <w:style w:type="character" w:customStyle="1" w:styleId="1">
    <w:name w:val="إشارة لم يتم حلها1"/>
    <w:basedOn w:val="DefaultParagraphFont"/>
    <w:uiPriority w:val="99"/>
    <w:semiHidden/>
    <w:unhideWhenUsed/>
    <w:rsid w:val="00FB01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2D"/>
    <w:pPr>
      <w:bidi/>
    </w:pPr>
    <w:rPr>
      <w:rFonts w:ascii="Calibri" w:eastAsia="Times New Roman" w:hAnsi="Calibri" w:cs="Arial"/>
    </w:rPr>
  </w:style>
  <w:style w:type="paragraph" w:styleId="Heading1">
    <w:name w:val="heading 1"/>
    <w:basedOn w:val="Normal"/>
    <w:next w:val="Normal"/>
    <w:link w:val="Heading1Char"/>
    <w:uiPriority w:val="9"/>
    <w:qFormat/>
    <w:rsid w:val="00F126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A0712"/>
    <w:pPr>
      <w:bidi w:val="0"/>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87"/>
    <w:pPr>
      <w:ind w:left="720"/>
      <w:contextualSpacing/>
    </w:pPr>
  </w:style>
  <w:style w:type="character" w:customStyle="1" w:styleId="fontstyle01">
    <w:name w:val="fontstyle01"/>
    <w:rsid w:val="00CC4733"/>
    <w:rPr>
      <w:rFonts w:ascii="TimesNewRomanPSMT" w:hAnsi="TimesNewRomanPSMT" w:hint="default"/>
      <w:b w:val="0"/>
      <w:bCs w:val="0"/>
      <w:i w:val="0"/>
      <w:iCs w:val="0"/>
      <w:color w:val="000000"/>
      <w:sz w:val="24"/>
      <w:szCs w:val="24"/>
    </w:rPr>
  </w:style>
  <w:style w:type="table" w:customStyle="1" w:styleId="PlainTable11">
    <w:name w:val="Plain Table 11"/>
    <w:basedOn w:val="TableNormal"/>
    <w:next w:val="PlainTable12"/>
    <w:uiPriority w:val="41"/>
    <w:rsid w:val="000D5E2E"/>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0D5E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A071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43C8D"/>
    <w:rPr>
      <w:color w:val="0000FF"/>
      <w:u w:val="single"/>
    </w:rPr>
  </w:style>
  <w:style w:type="character" w:styleId="Strong">
    <w:name w:val="Strong"/>
    <w:basedOn w:val="DefaultParagraphFont"/>
    <w:uiPriority w:val="22"/>
    <w:qFormat/>
    <w:rsid w:val="00E1721D"/>
    <w:rPr>
      <w:b/>
      <w:bCs/>
    </w:rPr>
  </w:style>
  <w:style w:type="paragraph" w:styleId="NormalWeb">
    <w:name w:val="Normal (Web)"/>
    <w:basedOn w:val="Normal"/>
    <w:uiPriority w:val="99"/>
    <w:semiHidden/>
    <w:unhideWhenUsed/>
    <w:rsid w:val="00820D61"/>
    <w:pPr>
      <w:bidi w:val="0"/>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3210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26A7"/>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8A22B5"/>
    <w:pPr>
      <w:bidi/>
      <w:spacing w:after="0" w:line="240" w:lineRule="auto"/>
    </w:pPr>
    <w:rPr>
      <w:rFonts w:eastAsiaTheme="minorEastAsia"/>
    </w:rPr>
  </w:style>
  <w:style w:type="character" w:customStyle="1" w:styleId="NoSpacingChar">
    <w:name w:val="No Spacing Char"/>
    <w:basedOn w:val="DefaultParagraphFont"/>
    <w:link w:val="NoSpacing"/>
    <w:uiPriority w:val="1"/>
    <w:rsid w:val="008A22B5"/>
    <w:rPr>
      <w:rFonts w:eastAsiaTheme="minorEastAsia"/>
    </w:rPr>
  </w:style>
  <w:style w:type="paragraph" w:styleId="BalloonText">
    <w:name w:val="Balloon Text"/>
    <w:basedOn w:val="Normal"/>
    <w:link w:val="BalloonTextChar"/>
    <w:uiPriority w:val="99"/>
    <w:semiHidden/>
    <w:unhideWhenUsed/>
    <w:rsid w:val="008A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B5"/>
    <w:rPr>
      <w:rFonts w:ascii="Tahoma" w:eastAsia="Times New Roman" w:hAnsi="Tahoma" w:cs="Tahoma"/>
      <w:sz w:val="16"/>
      <w:szCs w:val="16"/>
    </w:rPr>
  </w:style>
  <w:style w:type="paragraph" w:styleId="Header">
    <w:name w:val="header"/>
    <w:basedOn w:val="Normal"/>
    <w:link w:val="HeaderChar"/>
    <w:uiPriority w:val="99"/>
    <w:unhideWhenUsed/>
    <w:rsid w:val="001344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4BD"/>
    <w:rPr>
      <w:rFonts w:ascii="Calibri" w:eastAsia="Times New Roman" w:hAnsi="Calibri" w:cs="Arial"/>
    </w:rPr>
  </w:style>
  <w:style w:type="paragraph" w:styleId="Footer">
    <w:name w:val="footer"/>
    <w:basedOn w:val="Normal"/>
    <w:link w:val="FooterChar"/>
    <w:uiPriority w:val="99"/>
    <w:unhideWhenUsed/>
    <w:rsid w:val="001344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4BD"/>
    <w:rPr>
      <w:rFonts w:ascii="Calibri" w:eastAsia="Times New Roman" w:hAnsi="Calibri" w:cs="Arial"/>
    </w:rPr>
  </w:style>
  <w:style w:type="character" w:styleId="CommentReference">
    <w:name w:val="annotation reference"/>
    <w:basedOn w:val="DefaultParagraphFont"/>
    <w:uiPriority w:val="99"/>
    <w:semiHidden/>
    <w:unhideWhenUsed/>
    <w:rsid w:val="006A4242"/>
    <w:rPr>
      <w:sz w:val="16"/>
      <w:szCs w:val="16"/>
    </w:rPr>
  </w:style>
  <w:style w:type="paragraph" w:styleId="CommentText">
    <w:name w:val="annotation text"/>
    <w:basedOn w:val="Normal"/>
    <w:link w:val="CommentTextChar"/>
    <w:uiPriority w:val="99"/>
    <w:semiHidden/>
    <w:unhideWhenUsed/>
    <w:rsid w:val="006A4242"/>
    <w:pPr>
      <w:spacing w:line="240" w:lineRule="auto"/>
    </w:pPr>
    <w:rPr>
      <w:sz w:val="20"/>
      <w:szCs w:val="20"/>
    </w:rPr>
  </w:style>
  <w:style w:type="character" w:customStyle="1" w:styleId="CommentTextChar">
    <w:name w:val="Comment Text Char"/>
    <w:basedOn w:val="DefaultParagraphFont"/>
    <w:link w:val="CommentText"/>
    <w:uiPriority w:val="99"/>
    <w:semiHidden/>
    <w:rsid w:val="006A424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6A4242"/>
    <w:rPr>
      <w:b/>
      <w:bCs/>
    </w:rPr>
  </w:style>
  <w:style w:type="character" w:customStyle="1" w:styleId="CommentSubjectChar">
    <w:name w:val="Comment Subject Char"/>
    <w:basedOn w:val="CommentTextChar"/>
    <w:link w:val="CommentSubject"/>
    <w:uiPriority w:val="99"/>
    <w:semiHidden/>
    <w:rsid w:val="006A4242"/>
    <w:rPr>
      <w:rFonts w:ascii="Calibri" w:eastAsia="Times New Roman" w:hAnsi="Calibri" w:cs="Arial"/>
      <w:b/>
      <w:bCs/>
      <w:sz w:val="20"/>
      <w:szCs w:val="20"/>
    </w:rPr>
  </w:style>
  <w:style w:type="character" w:customStyle="1" w:styleId="1">
    <w:name w:val="إشارة لم يتم حلها1"/>
    <w:basedOn w:val="DefaultParagraphFont"/>
    <w:uiPriority w:val="99"/>
    <w:semiHidden/>
    <w:unhideWhenUsed/>
    <w:rsid w:val="00FB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1645">
      <w:bodyDiv w:val="1"/>
      <w:marLeft w:val="0"/>
      <w:marRight w:val="0"/>
      <w:marTop w:val="0"/>
      <w:marBottom w:val="0"/>
      <w:divBdr>
        <w:top w:val="none" w:sz="0" w:space="0" w:color="auto"/>
        <w:left w:val="none" w:sz="0" w:space="0" w:color="auto"/>
        <w:bottom w:val="none" w:sz="0" w:space="0" w:color="auto"/>
        <w:right w:val="none" w:sz="0" w:space="0" w:color="auto"/>
      </w:divBdr>
    </w:div>
    <w:div w:id="182133440">
      <w:bodyDiv w:val="1"/>
      <w:marLeft w:val="0"/>
      <w:marRight w:val="0"/>
      <w:marTop w:val="0"/>
      <w:marBottom w:val="0"/>
      <w:divBdr>
        <w:top w:val="none" w:sz="0" w:space="0" w:color="auto"/>
        <w:left w:val="none" w:sz="0" w:space="0" w:color="auto"/>
        <w:bottom w:val="none" w:sz="0" w:space="0" w:color="auto"/>
        <w:right w:val="none" w:sz="0" w:space="0" w:color="auto"/>
      </w:divBdr>
    </w:div>
    <w:div w:id="262105852">
      <w:bodyDiv w:val="1"/>
      <w:marLeft w:val="0"/>
      <w:marRight w:val="0"/>
      <w:marTop w:val="0"/>
      <w:marBottom w:val="0"/>
      <w:divBdr>
        <w:top w:val="none" w:sz="0" w:space="0" w:color="auto"/>
        <w:left w:val="none" w:sz="0" w:space="0" w:color="auto"/>
        <w:bottom w:val="none" w:sz="0" w:space="0" w:color="auto"/>
        <w:right w:val="none" w:sz="0" w:space="0" w:color="auto"/>
      </w:divBdr>
    </w:div>
    <w:div w:id="510024331">
      <w:bodyDiv w:val="1"/>
      <w:marLeft w:val="0"/>
      <w:marRight w:val="0"/>
      <w:marTop w:val="0"/>
      <w:marBottom w:val="0"/>
      <w:divBdr>
        <w:top w:val="none" w:sz="0" w:space="0" w:color="auto"/>
        <w:left w:val="none" w:sz="0" w:space="0" w:color="auto"/>
        <w:bottom w:val="none" w:sz="0" w:space="0" w:color="auto"/>
        <w:right w:val="none" w:sz="0" w:space="0" w:color="auto"/>
      </w:divBdr>
    </w:div>
    <w:div w:id="514852183">
      <w:bodyDiv w:val="1"/>
      <w:marLeft w:val="0"/>
      <w:marRight w:val="0"/>
      <w:marTop w:val="0"/>
      <w:marBottom w:val="0"/>
      <w:divBdr>
        <w:top w:val="none" w:sz="0" w:space="0" w:color="auto"/>
        <w:left w:val="none" w:sz="0" w:space="0" w:color="auto"/>
        <w:bottom w:val="none" w:sz="0" w:space="0" w:color="auto"/>
        <w:right w:val="none" w:sz="0" w:space="0" w:color="auto"/>
      </w:divBdr>
    </w:div>
    <w:div w:id="540283523">
      <w:bodyDiv w:val="1"/>
      <w:marLeft w:val="0"/>
      <w:marRight w:val="0"/>
      <w:marTop w:val="0"/>
      <w:marBottom w:val="0"/>
      <w:divBdr>
        <w:top w:val="none" w:sz="0" w:space="0" w:color="auto"/>
        <w:left w:val="none" w:sz="0" w:space="0" w:color="auto"/>
        <w:bottom w:val="none" w:sz="0" w:space="0" w:color="auto"/>
        <w:right w:val="none" w:sz="0" w:space="0" w:color="auto"/>
      </w:divBdr>
      <w:divsChild>
        <w:div w:id="1822041855">
          <w:marLeft w:val="0"/>
          <w:marRight w:val="0"/>
          <w:marTop w:val="0"/>
          <w:marBottom w:val="0"/>
          <w:divBdr>
            <w:top w:val="none" w:sz="0" w:space="0" w:color="auto"/>
            <w:left w:val="none" w:sz="0" w:space="0" w:color="auto"/>
            <w:bottom w:val="none" w:sz="0" w:space="0" w:color="auto"/>
            <w:right w:val="none" w:sz="0" w:space="0" w:color="auto"/>
          </w:divBdr>
        </w:div>
      </w:divsChild>
    </w:div>
    <w:div w:id="566889923">
      <w:bodyDiv w:val="1"/>
      <w:marLeft w:val="0"/>
      <w:marRight w:val="0"/>
      <w:marTop w:val="0"/>
      <w:marBottom w:val="0"/>
      <w:divBdr>
        <w:top w:val="none" w:sz="0" w:space="0" w:color="auto"/>
        <w:left w:val="none" w:sz="0" w:space="0" w:color="auto"/>
        <w:bottom w:val="none" w:sz="0" w:space="0" w:color="auto"/>
        <w:right w:val="none" w:sz="0" w:space="0" w:color="auto"/>
      </w:divBdr>
    </w:div>
    <w:div w:id="641351906">
      <w:bodyDiv w:val="1"/>
      <w:marLeft w:val="0"/>
      <w:marRight w:val="0"/>
      <w:marTop w:val="0"/>
      <w:marBottom w:val="0"/>
      <w:divBdr>
        <w:top w:val="none" w:sz="0" w:space="0" w:color="auto"/>
        <w:left w:val="none" w:sz="0" w:space="0" w:color="auto"/>
        <w:bottom w:val="none" w:sz="0" w:space="0" w:color="auto"/>
        <w:right w:val="none" w:sz="0" w:space="0" w:color="auto"/>
      </w:divBdr>
    </w:div>
    <w:div w:id="669526242">
      <w:bodyDiv w:val="1"/>
      <w:marLeft w:val="0"/>
      <w:marRight w:val="0"/>
      <w:marTop w:val="0"/>
      <w:marBottom w:val="0"/>
      <w:divBdr>
        <w:top w:val="none" w:sz="0" w:space="0" w:color="auto"/>
        <w:left w:val="none" w:sz="0" w:space="0" w:color="auto"/>
        <w:bottom w:val="none" w:sz="0" w:space="0" w:color="auto"/>
        <w:right w:val="none" w:sz="0" w:space="0" w:color="auto"/>
      </w:divBdr>
    </w:div>
    <w:div w:id="719401607">
      <w:bodyDiv w:val="1"/>
      <w:marLeft w:val="0"/>
      <w:marRight w:val="0"/>
      <w:marTop w:val="0"/>
      <w:marBottom w:val="0"/>
      <w:divBdr>
        <w:top w:val="none" w:sz="0" w:space="0" w:color="auto"/>
        <w:left w:val="none" w:sz="0" w:space="0" w:color="auto"/>
        <w:bottom w:val="none" w:sz="0" w:space="0" w:color="auto"/>
        <w:right w:val="none" w:sz="0" w:space="0" w:color="auto"/>
      </w:divBdr>
    </w:div>
    <w:div w:id="741176609">
      <w:bodyDiv w:val="1"/>
      <w:marLeft w:val="0"/>
      <w:marRight w:val="0"/>
      <w:marTop w:val="0"/>
      <w:marBottom w:val="0"/>
      <w:divBdr>
        <w:top w:val="none" w:sz="0" w:space="0" w:color="auto"/>
        <w:left w:val="none" w:sz="0" w:space="0" w:color="auto"/>
        <w:bottom w:val="none" w:sz="0" w:space="0" w:color="auto"/>
        <w:right w:val="none" w:sz="0" w:space="0" w:color="auto"/>
      </w:divBdr>
    </w:div>
    <w:div w:id="819032604">
      <w:bodyDiv w:val="1"/>
      <w:marLeft w:val="0"/>
      <w:marRight w:val="0"/>
      <w:marTop w:val="0"/>
      <w:marBottom w:val="0"/>
      <w:divBdr>
        <w:top w:val="none" w:sz="0" w:space="0" w:color="auto"/>
        <w:left w:val="none" w:sz="0" w:space="0" w:color="auto"/>
        <w:bottom w:val="none" w:sz="0" w:space="0" w:color="auto"/>
        <w:right w:val="none" w:sz="0" w:space="0" w:color="auto"/>
      </w:divBdr>
    </w:div>
    <w:div w:id="839079222">
      <w:bodyDiv w:val="1"/>
      <w:marLeft w:val="0"/>
      <w:marRight w:val="0"/>
      <w:marTop w:val="0"/>
      <w:marBottom w:val="0"/>
      <w:divBdr>
        <w:top w:val="none" w:sz="0" w:space="0" w:color="auto"/>
        <w:left w:val="none" w:sz="0" w:space="0" w:color="auto"/>
        <w:bottom w:val="none" w:sz="0" w:space="0" w:color="auto"/>
        <w:right w:val="none" w:sz="0" w:space="0" w:color="auto"/>
      </w:divBdr>
    </w:div>
    <w:div w:id="972247329">
      <w:bodyDiv w:val="1"/>
      <w:marLeft w:val="0"/>
      <w:marRight w:val="0"/>
      <w:marTop w:val="0"/>
      <w:marBottom w:val="0"/>
      <w:divBdr>
        <w:top w:val="none" w:sz="0" w:space="0" w:color="auto"/>
        <w:left w:val="none" w:sz="0" w:space="0" w:color="auto"/>
        <w:bottom w:val="none" w:sz="0" w:space="0" w:color="auto"/>
        <w:right w:val="none" w:sz="0" w:space="0" w:color="auto"/>
      </w:divBdr>
    </w:div>
    <w:div w:id="1169178590">
      <w:bodyDiv w:val="1"/>
      <w:marLeft w:val="0"/>
      <w:marRight w:val="0"/>
      <w:marTop w:val="0"/>
      <w:marBottom w:val="0"/>
      <w:divBdr>
        <w:top w:val="none" w:sz="0" w:space="0" w:color="auto"/>
        <w:left w:val="none" w:sz="0" w:space="0" w:color="auto"/>
        <w:bottom w:val="none" w:sz="0" w:space="0" w:color="auto"/>
        <w:right w:val="none" w:sz="0" w:space="0" w:color="auto"/>
      </w:divBdr>
    </w:div>
    <w:div w:id="1474517149">
      <w:bodyDiv w:val="1"/>
      <w:marLeft w:val="0"/>
      <w:marRight w:val="0"/>
      <w:marTop w:val="0"/>
      <w:marBottom w:val="0"/>
      <w:divBdr>
        <w:top w:val="none" w:sz="0" w:space="0" w:color="auto"/>
        <w:left w:val="none" w:sz="0" w:space="0" w:color="auto"/>
        <w:bottom w:val="none" w:sz="0" w:space="0" w:color="auto"/>
        <w:right w:val="none" w:sz="0" w:space="0" w:color="auto"/>
      </w:divBdr>
      <w:divsChild>
        <w:div w:id="1765414029">
          <w:marLeft w:val="0"/>
          <w:marRight w:val="0"/>
          <w:marTop w:val="0"/>
          <w:marBottom w:val="0"/>
          <w:divBdr>
            <w:top w:val="none" w:sz="0" w:space="0" w:color="auto"/>
            <w:left w:val="none" w:sz="0" w:space="0" w:color="auto"/>
            <w:bottom w:val="none" w:sz="0" w:space="0" w:color="auto"/>
            <w:right w:val="none" w:sz="0" w:space="0" w:color="auto"/>
          </w:divBdr>
          <w:divsChild>
            <w:div w:id="1506899539">
              <w:marLeft w:val="0"/>
              <w:marRight w:val="0"/>
              <w:marTop w:val="0"/>
              <w:marBottom w:val="0"/>
              <w:divBdr>
                <w:top w:val="none" w:sz="0" w:space="0" w:color="auto"/>
                <w:left w:val="none" w:sz="0" w:space="0" w:color="auto"/>
                <w:bottom w:val="none" w:sz="0" w:space="0" w:color="auto"/>
                <w:right w:val="none" w:sz="0" w:space="0" w:color="auto"/>
              </w:divBdr>
            </w:div>
          </w:divsChild>
        </w:div>
        <w:div w:id="1613513758">
          <w:marLeft w:val="0"/>
          <w:marRight w:val="0"/>
          <w:marTop w:val="0"/>
          <w:marBottom w:val="0"/>
          <w:divBdr>
            <w:top w:val="none" w:sz="0" w:space="0" w:color="auto"/>
            <w:left w:val="none" w:sz="0" w:space="0" w:color="auto"/>
            <w:bottom w:val="none" w:sz="0" w:space="0" w:color="auto"/>
            <w:right w:val="none" w:sz="0" w:space="0" w:color="auto"/>
          </w:divBdr>
        </w:div>
      </w:divsChild>
    </w:div>
    <w:div w:id="1560895874">
      <w:bodyDiv w:val="1"/>
      <w:marLeft w:val="0"/>
      <w:marRight w:val="0"/>
      <w:marTop w:val="0"/>
      <w:marBottom w:val="0"/>
      <w:divBdr>
        <w:top w:val="none" w:sz="0" w:space="0" w:color="auto"/>
        <w:left w:val="none" w:sz="0" w:space="0" w:color="auto"/>
        <w:bottom w:val="none" w:sz="0" w:space="0" w:color="auto"/>
        <w:right w:val="none" w:sz="0" w:space="0" w:color="auto"/>
      </w:divBdr>
    </w:div>
    <w:div w:id="1560944370">
      <w:bodyDiv w:val="1"/>
      <w:marLeft w:val="0"/>
      <w:marRight w:val="0"/>
      <w:marTop w:val="0"/>
      <w:marBottom w:val="0"/>
      <w:divBdr>
        <w:top w:val="none" w:sz="0" w:space="0" w:color="auto"/>
        <w:left w:val="none" w:sz="0" w:space="0" w:color="auto"/>
        <w:bottom w:val="none" w:sz="0" w:space="0" w:color="auto"/>
        <w:right w:val="none" w:sz="0" w:space="0" w:color="auto"/>
      </w:divBdr>
    </w:div>
    <w:div w:id="1710490185">
      <w:bodyDiv w:val="1"/>
      <w:marLeft w:val="0"/>
      <w:marRight w:val="0"/>
      <w:marTop w:val="0"/>
      <w:marBottom w:val="0"/>
      <w:divBdr>
        <w:top w:val="none" w:sz="0" w:space="0" w:color="auto"/>
        <w:left w:val="none" w:sz="0" w:space="0" w:color="auto"/>
        <w:bottom w:val="none" w:sz="0" w:space="0" w:color="auto"/>
        <w:right w:val="none" w:sz="0" w:space="0" w:color="auto"/>
      </w:divBdr>
    </w:div>
    <w:div w:id="1761096148">
      <w:bodyDiv w:val="1"/>
      <w:marLeft w:val="0"/>
      <w:marRight w:val="0"/>
      <w:marTop w:val="0"/>
      <w:marBottom w:val="0"/>
      <w:divBdr>
        <w:top w:val="none" w:sz="0" w:space="0" w:color="auto"/>
        <w:left w:val="none" w:sz="0" w:space="0" w:color="auto"/>
        <w:bottom w:val="none" w:sz="0" w:space="0" w:color="auto"/>
        <w:right w:val="none" w:sz="0" w:space="0" w:color="auto"/>
      </w:divBdr>
    </w:div>
    <w:div w:id="1856915490">
      <w:bodyDiv w:val="1"/>
      <w:marLeft w:val="0"/>
      <w:marRight w:val="0"/>
      <w:marTop w:val="0"/>
      <w:marBottom w:val="0"/>
      <w:divBdr>
        <w:top w:val="none" w:sz="0" w:space="0" w:color="auto"/>
        <w:left w:val="none" w:sz="0" w:space="0" w:color="auto"/>
        <w:bottom w:val="none" w:sz="0" w:space="0" w:color="auto"/>
        <w:right w:val="none" w:sz="0" w:space="0" w:color="auto"/>
      </w:divBdr>
    </w:div>
    <w:div w:id="1942757771">
      <w:bodyDiv w:val="1"/>
      <w:marLeft w:val="0"/>
      <w:marRight w:val="0"/>
      <w:marTop w:val="0"/>
      <w:marBottom w:val="0"/>
      <w:divBdr>
        <w:top w:val="none" w:sz="0" w:space="0" w:color="auto"/>
        <w:left w:val="none" w:sz="0" w:space="0" w:color="auto"/>
        <w:bottom w:val="none" w:sz="0" w:space="0" w:color="auto"/>
        <w:right w:val="none" w:sz="0" w:space="0" w:color="auto"/>
      </w:divBdr>
    </w:div>
    <w:div w:id="1964647898">
      <w:bodyDiv w:val="1"/>
      <w:marLeft w:val="0"/>
      <w:marRight w:val="0"/>
      <w:marTop w:val="0"/>
      <w:marBottom w:val="0"/>
      <w:divBdr>
        <w:top w:val="none" w:sz="0" w:space="0" w:color="auto"/>
        <w:left w:val="none" w:sz="0" w:space="0" w:color="auto"/>
        <w:bottom w:val="none" w:sz="0" w:space="0" w:color="auto"/>
        <w:right w:val="none" w:sz="0" w:space="0" w:color="auto"/>
      </w:divBdr>
      <w:divsChild>
        <w:div w:id="1110971202">
          <w:marLeft w:val="0"/>
          <w:marRight w:val="0"/>
          <w:marTop w:val="0"/>
          <w:marBottom w:val="0"/>
          <w:divBdr>
            <w:top w:val="none" w:sz="0" w:space="0" w:color="auto"/>
            <w:left w:val="none" w:sz="0" w:space="0" w:color="auto"/>
            <w:bottom w:val="none" w:sz="0" w:space="0" w:color="auto"/>
            <w:right w:val="none" w:sz="0" w:space="0" w:color="auto"/>
          </w:divBdr>
          <w:divsChild>
            <w:div w:id="1905946920">
              <w:marLeft w:val="0"/>
              <w:marRight w:val="0"/>
              <w:marTop w:val="0"/>
              <w:marBottom w:val="0"/>
              <w:divBdr>
                <w:top w:val="none" w:sz="0" w:space="0" w:color="auto"/>
                <w:left w:val="none" w:sz="0" w:space="0" w:color="auto"/>
                <w:bottom w:val="none" w:sz="0" w:space="0" w:color="auto"/>
                <w:right w:val="none" w:sz="0" w:space="0" w:color="auto"/>
              </w:divBdr>
            </w:div>
          </w:divsChild>
        </w:div>
        <w:div w:id="1410931630">
          <w:marLeft w:val="0"/>
          <w:marRight w:val="0"/>
          <w:marTop w:val="0"/>
          <w:marBottom w:val="0"/>
          <w:divBdr>
            <w:top w:val="none" w:sz="0" w:space="0" w:color="auto"/>
            <w:left w:val="none" w:sz="0" w:space="0" w:color="auto"/>
            <w:bottom w:val="none" w:sz="0" w:space="0" w:color="auto"/>
            <w:right w:val="none" w:sz="0" w:space="0" w:color="auto"/>
          </w:divBdr>
        </w:div>
      </w:divsChild>
    </w:div>
    <w:div w:id="1991901802">
      <w:bodyDiv w:val="1"/>
      <w:marLeft w:val="0"/>
      <w:marRight w:val="0"/>
      <w:marTop w:val="0"/>
      <w:marBottom w:val="0"/>
      <w:divBdr>
        <w:top w:val="none" w:sz="0" w:space="0" w:color="auto"/>
        <w:left w:val="none" w:sz="0" w:space="0" w:color="auto"/>
        <w:bottom w:val="none" w:sz="0" w:space="0" w:color="auto"/>
        <w:right w:val="none" w:sz="0" w:space="0" w:color="auto"/>
      </w:divBdr>
    </w:div>
    <w:div w:id="2059670022">
      <w:bodyDiv w:val="1"/>
      <w:marLeft w:val="0"/>
      <w:marRight w:val="0"/>
      <w:marTop w:val="0"/>
      <w:marBottom w:val="0"/>
      <w:divBdr>
        <w:top w:val="none" w:sz="0" w:space="0" w:color="auto"/>
        <w:left w:val="none" w:sz="0" w:space="0" w:color="auto"/>
        <w:bottom w:val="none" w:sz="0" w:space="0" w:color="auto"/>
        <w:right w:val="none" w:sz="0" w:space="0" w:color="auto"/>
      </w:divBdr>
      <w:divsChild>
        <w:div w:id="1617063168">
          <w:marLeft w:val="0"/>
          <w:marRight w:val="0"/>
          <w:marTop w:val="0"/>
          <w:marBottom w:val="0"/>
          <w:divBdr>
            <w:top w:val="none" w:sz="0" w:space="0" w:color="auto"/>
            <w:left w:val="none" w:sz="0" w:space="0" w:color="auto"/>
            <w:bottom w:val="none" w:sz="0" w:space="0" w:color="auto"/>
            <w:right w:val="none" w:sz="0" w:space="0" w:color="auto"/>
          </w:divBdr>
        </w:div>
      </w:divsChild>
    </w:div>
    <w:div w:id="20856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F77172-DE9A-4384-839B-AC61B06AC1C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1FAD-F600-4DAB-B2B5-97DFA01B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5</Pages>
  <Words>2928</Words>
  <Characters>16691</Characters>
  <Application>Microsoft Office Word</Application>
  <DocSecurity>0</DocSecurity>
  <Lines>139</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safwat</dc:creator>
  <cp:lastModifiedBy>Dr Mohammed</cp:lastModifiedBy>
  <cp:revision>27</cp:revision>
  <cp:lastPrinted>2024-03-20T08:58:00Z</cp:lastPrinted>
  <dcterms:created xsi:type="dcterms:W3CDTF">2024-03-20T09:11:00Z</dcterms:created>
  <dcterms:modified xsi:type="dcterms:W3CDTF">2024-12-18T09:09:00Z</dcterms:modified>
</cp:coreProperties>
</file>